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/>
          <w:b/>
          <w:i w:val="0"/>
          <w:color w:val="087E83"/>
          <w:sz w:val="16"/>
        </w:rPr>
        <w:t>PROPUESTA PARA FARMAENLACE  |  MEJORA OPERATIVA</w:t>
      </w:r>
    </w:p>
    <w:p>
      <w:pPr>
        <w:pStyle w:val="Title"/>
        <w:keepNext/>
        <w:spacing w:before="0" w:after="20" w:line="240" w:lineRule="auto"/>
      </w:pPr>
      <w:r>
        <w:rPr>
          <w:rFonts w:ascii="Arial" w:hAnsi="Arial"/>
          <w:b/>
          <w:i w:val="0"/>
          <w:color w:val="000000"/>
          <w:sz w:val="42"/>
        </w:rPr>
        <w:t>Reabastecimiento predictivo geoespacial</w:t>
      </w:r>
    </w:p>
    <w:p>
      <w:pPr>
        <w:keepNext/>
        <w:spacing w:before="0" w:after="140" w:line="240" w:lineRule="auto"/>
      </w:pPr>
      <w:r>
        <w:rPr>
          <w:rFonts w:ascii="Arial" w:hAnsi="Arial"/>
          <w:b w:val="0"/>
          <w:i w:val="0"/>
          <w:color w:val="000000"/>
          <w:sz w:val="21"/>
        </w:rPr>
        <w:t>Problema, causas posibles, solución e impacto esperado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tcBorders>
              <w:left w:val="single" w:sz="20" w:color="19324A"/>
              <w:top w:val="nil"/>
              <w:right w:val="nil"/>
              <w:bottom w:val="nil"/>
            </w:tcBorders>
            <w:tcMar>
              <w:top w:w="105" w:type="dxa"/>
              <w:start w:w="150" w:type="dxa"/>
              <w:bottom w:w="105" w:type="dxa"/>
              <w:end w:w="14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Propuesta en una frase</w:t>
            </w:r>
          </w:p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8"/>
              </w:rPr>
              <w:t>Anticipar dónde podría faltar un producto y recomendar desde qué ubicación conviene reponerlo, considerando demanda, caducidad y tiempo de ruta.</w:t>
            </w:r>
          </w:p>
        </w:tc>
      </w:tr>
    </w:tbl>
    <w:p>
      <w:pPr>
        <w:spacing w:before="0" w:after="10" w:line="240" w:lineRule="auto"/>
      </w:pPr>
    </w:p>
    <w:p>
      <w:pPr>
        <w:pStyle w:val="Heading1"/>
        <w:keepNext/>
        <w:spacing w:before="120" w:after="60" w:line="240" w:lineRule="auto"/>
      </w:pPr>
      <w:r>
        <w:rPr>
          <w:rFonts w:ascii="Arial" w:hAnsi="Arial"/>
          <w:b/>
          <w:i w:val="0"/>
          <w:color w:val="000000"/>
          <w:sz w:val="25"/>
        </w:rPr>
        <w:t>Problema</w:t>
      </w:r>
    </w:p>
    <w:p>
      <w:pPr>
        <w:spacing w:before="0" w:after="60" w:line="254" w:lineRule="auto"/>
      </w:pPr>
      <w:r>
        <w:rPr>
          <w:rFonts w:ascii="Arial" w:hAnsi="Arial"/>
          <w:b w:val="0"/>
          <w:i w:val="0"/>
          <w:color w:val="202B35"/>
          <w:sz w:val="18"/>
        </w:rPr>
        <w:t>Un cliente puede llegar a una farmacia y no encontrar el producto que necesita, aunque otras sucursales tengan existencias. Si la reposición no llega a tiempo, la compra puede perderse y el cliente puede buscar otra opción. A la vez, el inventario puede permanecer en una ubicación donde se vende más lentamente y corre riesgo de caducar.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6F8FA"/>
            <w:tcBorders>
              <w:left w:val="single" w:sz="20" w:color="D79A32"/>
              <w:top w:val="nil"/>
              <w:right w:val="nil"/>
              <w:bottom w:val="nil"/>
            </w:tcBorders>
            <w:tcMar>
              <w:top w:w="105" w:type="dxa"/>
              <w:start w:w="150" w:type="dxa"/>
              <w:bottom w:w="105" w:type="dxa"/>
              <w:end w:w="14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Ejemplo ilustrativo</w:t>
            </w:r>
          </w:p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7"/>
              </w:rPr>
              <w:t>Don José, personaje ficticio, camina hasta su farmacia habitual para comprar un medicamento de uso frecuente. El producto se agotó y la reposición tardará varios días. Se va sin comprar y busca otra opción. El caso describe una experiencia posible, no un testimonio real.</w:t>
            </w:r>
          </w:p>
        </w:tc>
      </w:tr>
    </w:tbl>
    <w:p>
      <w:pPr>
        <w:spacing w:before="0" w:after="10" w:line="240" w:lineRule="auto"/>
      </w:pPr>
    </w:p>
    <w:p>
      <w:pPr>
        <w:spacing w:before="0" w:after="60" w:line="247" w:lineRule="auto"/>
      </w:pPr>
      <w:r>
        <w:rPr>
          <w:rFonts w:ascii="Arial" w:hAnsi="Arial"/>
          <w:b/>
          <w:i w:val="0"/>
          <w:color w:val="19324A"/>
          <w:sz w:val="17"/>
        </w:rPr>
        <w:t xml:space="preserve">A quién afecta. </w:t>
      </w:r>
      <w:r>
        <w:rPr>
          <w:rFonts w:ascii="Arial" w:hAnsi="Arial"/>
          <w:b w:val="0"/>
          <w:i w:val="0"/>
          <w:color w:val="202B35"/>
          <w:sz w:val="17"/>
        </w:rPr>
        <w:t>Al cliente que no encuentra el producto y al planificador de abastecimiento que debe decidir qué reponer o trasladar y cuándo hacerlo.</w:t>
      </w:r>
    </w:p>
    <w:p>
      <w:pPr>
        <w:pStyle w:val="Heading1"/>
        <w:keepNext/>
        <w:spacing w:before="120" w:after="60" w:line="240" w:lineRule="auto"/>
      </w:pPr>
      <w:r>
        <w:rPr>
          <w:rFonts w:ascii="Arial" w:hAnsi="Arial"/>
          <w:b/>
          <w:i w:val="0"/>
          <w:color w:val="000000"/>
          <w:sz w:val="25"/>
        </w:rPr>
        <w:t>Posibles causas</w:t>
      </w:r>
    </w:p>
    <w:p>
      <w:pPr>
        <w:spacing w:before="0" w:after="60" w:line="247" w:lineRule="auto"/>
      </w:pPr>
      <w:r>
        <w:rPr>
          <w:rFonts w:ascii="Arial" w:hAnsi="Arial"/>
          <w:b/>
          <w:i w:val="0"/>
          <w:color w:val="19324A"/>
          <w:sz w:val="17"/>
        </w:rPr>
        <w:t xml:space="preserve">Reposición tardía. </w:t>
      </w:r>
      <w:r>
        <w:rPr>
          <w:rFonts w:ascii="Arial" w:hAnsi="Arial"/>
          <w:b w:val="0"/>
          <w:i w:val="0"/>
          <w:color w:val="202B35"/>
          <w:sz w:val="17"/>
        </w:rPr>
        <w:t>Si la decisión se activa cuando el inventario ya está bajo, el tiempo de preparación y traslado puede dejar un periodo sin producto.</w:t>
      </w:r>
    </w:p>
    <w:p>
      <w:pPr>
        <w:spacing w:before="0" w:after="60" w:line="247" w:lineRule="auto"/>
      </w:pPr>
      <w:r>
        <w:rPr>
          <w:rFonts w:ascii="Arial" w:hAnsi="Arial"/>
          <w:b/>
          <w:i w:val="0"/>
          <w:color w:val="19324A"/>
          <w:sz w:val="17"/>
        </w:rPr>
        <w:t xml:space="preserve">Demanda local variable. </w:t>
      </w:r>
      <w:r>
        <w:rPr>
          <w:rFonts w:ascii="Arial" w:hAnsi="Arial"/>
          <w:b w:val="0"/>
          <w:i w:val="0"/>
          <w:color w:val="202B35"/>
          <w:sz w:val="17"/>
        </w:rPr>
        <w:t>Promedios generales o parámetros fijos podrían no reflejar las diferencias entre zonas, sucursales o temporadas.</w:t>
      </w:r>
    </w:p>
    <w:p>
      <w:pPr>
        <w:spacing w:before="0" w:after="60" w:line="247" w:lineRule="auto"/>
      </w:pPr>
      <w:r>
        <w:rPr>
          <w:rFonts w:ascii="Arial" w:hAnsi="Arial"/>
          <w:b/>
          <w:i w:val="0"/>
          <w:color w:val="19324A"/>
          <w:sz w:val="17"/>
        </w:rPr>
        <w:t xml:space="preserve">Poca coordinación geográfica. </w:t>
      </w:r>
      <w:r>
        <w:rPr>
          <w:rFonts w:ascii="Arial" w:hAnsi="Arial"/>
          <w:b w:val="0"/>
          <w:i w:val="0"/>
          <w:color w:val="202B35"/>
          <w:sz w:val="17"/>
        </w:rPr>
        <w:t>La planificación podría no combinar existencias, fechas de caducidad y tiempos de ruta para elegir el mejor origen del traslado.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7E9"/>
            <w:tcBorders>
              <w:left w:val="single" w:sz="20" w:color="D79A32"/>
              <w:top w:val="nil"/>
              <w:right w:val="nil"/>
              <w:bottom w:val="nil"/>
            </w:tcBorders>
            <w:tcMar>
              <w:top w:w="105" w:type="dxa"/>
              <w:start w:w="150" w:type="dxa"/>
              <w:bottom w:w="105" w:type="dxa"/>
              <w:end w:w="14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Hipótesis por validar</w:t>
            </w:r>
          </w:p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6"/>
              </w:rPr>
              <w:t>No afirmamos que el proceso actual de Farmaenlace sea reactivo ni que sus sistemas carezcan de datos o capacidades. Los tiempos de reposición, las causas y la magnitud del problema requieren confirmación.</w:t>
            </w:r>
          </w:p>
        </w:tc>
      </w:tr>
    </w:tbl>
    <w:p>
      <w:pPr>
        <w:spacing w:before="0" w:after="10" w:line="240" w:lineRule="auto"/>
      </w:pPr>
    </w:p>
    <w:p>
      <w:r>
        <w:br w:type="page"/>
      </w:r>
    </w:p>
    <w:p>
      <w:pPr>
        <w:pStyle w:val="Heading1"/>
        <w:keepNext/>
        <w:spacing w:before="120" w:after="60" w:line="240" w:lineRule="auto"/>
      </w:pPr>
      <w:r>
        <w:rPr>
          <w:rFonts w:ascii="Arial" w:hAnsi="Arial"/>
          <w:b/>
          <w:i w:val="0"/>
          <w:color w:val="000000"/>
          <w:sz w:val="25"/>
        </w:rPr>
        <w:t>Solución propuesta</w:t>
      </w:r>
    </w:p>
    <w:p>
      <w:pPr>
        <w:spacing w:before="0" w:after="80" w:line="254" w:lineRule="auto"/>
      </w:pPr>
      <w:r>
        <w:rPr>
          <w:rFonts w:ascii="Arial" w:hAnsi="Arial"/>
          <w:b w:val="0"/>
          <w:i w:val="0"/>
          <w:color w:val="202B35"/>
          <w:sz w:val="17"/>
        </w:rPr>
        <w:t>Proponemos un motor de inteligencia geoespacial que estime el riesgo de quiebre y de caducidad por producto y sucursal. Compararía ubicaciones de origen y destino según la demanda esperada, el inventario disponible, la fecha de caducidad y el tiempo o costo de ruta. La ubicación debe cambiar la recomendación, no limitarse a aparecer en un mapa.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c>
          <w:tcPr>
            <w:tcW w:type="dxa" w:w="25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EEF2F7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087E83"/>
                <w:sz w:val="16"/>
              </w:rPr>
              <w:t>01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Datos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Ventas, inventario, lotes, coordenadas y rutas sintéticas.</w:t>
            </w:r>
          </w:p>
        </w:tc>
        <w:tc>
          <w:tcPr>
            <w:tcW w:type="dxa" w:w="25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3F7F7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087E83"/>
                <w:sz w:val="16"/>
              </w:rPr>
              <w:t>02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Riesgo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Estimar faltantes y excedentes próximos a caducar.</w:t>
            </w:r>
          </w:p>
        </w:tc>
        <w:tc>
          <w:tcPr>
            <w:tcW w:type="dxa" w:w="25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EEF2F7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087E83"/>
                <w:sz w:val="16"/>
              </w:rPr>
              <w:t>03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Decisión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Elegir una reposición o traslado que llegue a tiempo.</w:t>
            </w:r>
          </w:p>
        </w:tc>
        <w:tc>
          <w:tcPr>
            <w:tcW w:type="dxa" w:w="25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3F7F7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087E83"/>
                <w:sz w:val="16"/>
              </w:rPr>
              <w:t>04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Simulación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Crear una orden de prueba y comparar el resultado.</w:t>
            </w:r>
          </w:p>
        </w:tc>
      </w:tr>
    </w:tbl>
    <w:p>
      <w:pPr>
        <w:spacing w:before="60" w:after="20" w:line="240" w:lineRule="auto"/>
      </w:pPr>
      <w:r>
        <w:rPr>
          <w:rFonts w:ascii="Arial" w:hAnsi="Arial"/>
          <w:b/>
          <w:i w:val="0"/>
          <w:color w:val="19324A"/>
          <w:sz w:val="16"/>
        </w:rPr>
        <w:t xml:space="preserve">Alcance de la demo. </w:t>
      </w:r>
      <w:r>
        <w:rPr>
          <w:rFonts w:ascii="Arial" w:hAnsi="Arial"/>
          <w:b w:val="0"/>
          <w:i w:val="0"/>
          <w:color w:val="53616E"/>
          <w:sz w:val="16"/>
        </w:rPr>
        <w:t>El dataset sintético y el prototipo funcional están por construir. La orden será simulada; no se afirma una conexión con SAP ni el envío de órdenes reales.</w:t>
      </w:r>
    </w:p>
    <w:p>
      <w:pPr>
        <w:pStyle w:val="Heading2"/>
        <w:keepNext/>
        <w:spacing w:before="80" w:after="60"/>
      </w:pPr>
      <w:r>
        <w:rPr>
          <w:rFonts w:ascii="Arial" w:hAnsi="Arial"/>
          <w:b/>
          <w:color w:val="000000"/>
          <w:sz w:val="20"/>
        </w:rPr>
        <w:t>Comparación de escenarios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8"/>
        <w:gridCol w:w="3398"/>
        <w:gridCol w:w="3398"/>
      </w:tblGrid>
      <w:tr>
        <w:tc>
          <w:tcPr>
            <w:tcW w:type="dxa" w:w="3398"/>
            <w:shd w:fill="EEF2F7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Sin acción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02B35"/>
                <w:sz w:val="15"/>
              </w:rPr>
              <w:t>No se mueve inventario; sirve como referencia del costo de no intervenir.</w:t>
            </w:r>
          </w:p>
        </w:tc>
        <w:tc>
          <w:tcPr>
            <w:tcW w:type="dxa" w:w="3398"/>
            <w:shd w:fill="F3F7F7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Regla sencilla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02B35"/>
                <w:sz w:val="15"/>
              </w:rPr>
              <w:t>Se repone al cruzar un mínimo, desde una sucursal cercana con excedente.</w:t>
            </w:r>
          </w:p>
        </w:tc>
        <w:tc>
          <w:tcPr>
            <w:tcW w:type="dxa" w:w="3398"/>
            <w:shd w:fill="EEF2F7"/>
            <w:tcBorders>
              <w:top w:val="single" w:sz="4" w:color="D8E0E6"/>
              <w:left w:val="single" w:sz="4" w:color="D8E0E6"/>
              <w:bottom w:val="single" w:sz="4" w:color="D8E0E6"/>
              <w:right w:val="single" w:sz="4" w:color="D8E0E6"/>
            </w:tcBorders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Geo-AI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02B35"/>
                <w:sz w:val="15"/>
              </w:rPr>
              <w:t>Se ponderan riesgo de demanda, caducidad y tiempo o costo de ruta.</w:t>
            </w:r>
          </w:p>
        </w:tc>
      </w:tr>
    </w:tbl>
    <w:p>
      <w:pPr>
        <w:spacing w:before="40" w:after="80" w:line="240" w:lineRule="auto"/>
      </w:pPr>
      <w:r>
        <w:rPr>
          <w:rFonts w:ascii="Arial" w:hAnsi="Arial"/>
          <w:i/>
          <w:color w:val="53616E"/>
          <w:sz w:val="15"/>
        </w:rPr>
        <w:t>Usaremos la misma demanda y el mismo inventario inicial para que la comparación sea justa.</w:t>
      </w:r>
    </w:p>
    <w:p>
      <w:pPr>
        <w:pStyle w:val="Heading1"/>
        <w:keepNext/>
        <w:spacing w:before="120" w:after="60" w:line="240" w:lineRule="auto"/>
      </w:pPr>
      <w:r>
        <w:rPr>
          <w:rFonts w:ascii="Arial" w:hAnsi="Arial"/>
          <w:b/>
          <w:i w:val="0"/>
          <w:color w:val="000000"/>
          <w:sz w:val="25"/>
        </w:rPr>
        <w:t>Impacto y valor</w:t>
      </w:r>
    </w:p>
    <w:p>
      <w:pPr>
        <w:spacing w:before="0" w:after="60" w:line="254" w:lineRule="auto"/>
      </w:pPr>
      <w:r>
        <w:rPr>
          <w:rFonts w:ascii="Arial" w:hAnsi="Arial"/>
          <w:b w:val="0"/>
          <w:i w:val="0"/>
          <w:color w:val="202B35"/>
          <w:sz w:val="17"/>
        </w:rPr>
        <w:t>El valor esperado es mejorar la disponibilidad, reducir productos que podrían caducar sin venderse y orientar mejor los traslados. Compararemos el resultado con “sin acción” o una regla sencilla, usando la misma demanda e inventario inicial.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4F5"/>
            <w:tcBorders>
              <w:left w:val="single" w:sz="20" w:color="087E83"/>
              <w:top w:val="nil"/>
              <w:right w:val="nil"/>
              <w:bottom w:val="nil"/>
            </w:tcBorders>
            <w:tcMar>
              <w:top w:w="105" w:type="dxa"/>
              <w:start w:w="150" w:type="dxa"/>
              <w:bottom w:w="105" w:type="dxa"/>
              <w:end w:w="145" w:type="dxa"/>
            </w:tcMar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19324A"/>
                <w:sz w:val="17"/>
              </w:rPr>
              <w:t>Métrica principal para la simulación</w:t>
            </w:r>
          </w:p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202B35"/>
                <w:sz w:val="16"/>
              </w:rPr>
              <w:t>Costo estimado = demanda no atendida × margen unitario supuesto + unidades caducadas × costo unitario supuesto + costo de traslados.</w:t>
              <w:br/>
              <w:t>Reducción estimada (%) = 100 × (costo base − costo Geo-AI) / costo base.</w:t>
            </w:r>
          </w:p>
        </w:tc>
      </w:tr>
    </w:tbl>
    <w:p>
      <w:pPr>
        <w:spacing w:before="0" w:after="10" w:line="240" w:lineRule="auto"/>
      </w:pPr>
    </w:p>
    <w:p>
      <w:pPr>
        <w:pStyle w:val="ListBullet"/>
        <w:spacing w:before="0" w:after="30" w:line="240" w:lineRule="auto"/>
        <w:ind w:left="274" w:hanging="173"/>
      </w:pPr>
      <w:r>
        <w:rPr>
          <w:rFonts w:ascii="Arial" w:hAnsi="Arial"/>
          <w:b/>
          <w:i w:val="0"/>
          <w:color w:val="19324A"/>
          <w:sz w:val="16"/>
        </w:rPr>
        <w:t xml:space="preserve">Disponibilidad: </w:t>
      </w:r>
      <w:r>
        <w:rPr>
          <w:rFonts w:ascii="Arial" w:hAnsi="Arial"/>
          <w:b w:val="0"/>
          <w:i w:val="0"/>
          <w:color w:val="202B35"/>
          <w:sz w:val="16"/>
        </w:rPr>
        <w:t>porcentaje de demanda atendida o unidades no atendidas.</w:t>
      </w:r>
    </w:p>
    <w:p>
      <w:pPr>
        <w:pStyle w:val="ListBullet"/>
        <w:spacing w:before="0" w:after="30" w:line="240" w:lineRule="auto"/>
        <w:ind w:left="274" w:hanging="173"/>
      </w:pPr>
      <w:r>
        <w:rPr>
          <w:rFonts w:ascii="Arial" w:hAnsi="Arial"/>
          <w:b/>
          <w:i w:val="0"/>
          <w:color w:val="19324A"/>
          <w:sz w:val="16"/>
        </w:rPr>
        <w:t xml:space="preserve">Caducidad: </w:t>
      </w:r>
      <w:r>
        <w:rPr>
          <w:rFonts w:ascii="Arial" w:hAnsi="Arial"/>
          <w:b w:val="0"/>
          <w:i w:val="0"/>
          <w:color w:val="202B35"/>
          <w:sz w:val="16"/>
        </w:rPr>
        <w:t>unidades o costo supuesto de lotes en riesgo dentro del horizonte.</w:t>
      </w:r>
    </w:p>
    <w:p>
      <w:pPr>
        <w:pStyle w:val="ListBullet"/>
        <w:spacing w:before="0" w:after="30" w:line="240" w:lineRule="auto"/>
        <w:ind w:left="274" w:hanging="173"/>
      </w:pPr>
      <w:r>
        <w:rPr>
          <w:rFonts w:ascii="Arial" w:hAnsi="Arial"/>
          <w:b/>
          <w:i w:val="0"/>
          <w:color w:val="19324A"/>
          <w:sz w:val="16"/>
        </w:rPr>
        <w:t xml:space="preserve">Geografía: </w:t>
      </w:r>
      <w:r>
        <w:rPr>
          <w:rFonts w:ascii="Arial" w:hAnsi="Arial"/>
          <w:b w:val="0"/>
          <w:i w:val="0"/>
          <w:color w:val="202B35"/>
          <w:sz w:val="16"/>
        </w:rPr>
        <w:t>tiempo o costo de ruta y diferencia entre decisiones con y sin ubicación.</w:t>
      </w:r>
    </w:p>
    <w:p>
      <w:pPr>
        <w:spacing w:before="20" w:after="60" w:line="240" w:lineRule="auto"/>
      </w:pPr>
      <w:r>
        <w:rPr>
          <w:rFonts w:ascii="Arial" w:hAnsi="Arial"/>
          <w:b w:val="0"/>
          <w:i/>
          <w:color w:val="53616E"/>
          <w:sz w:val="15"/>
        </w:rPr>
        <w:t>Los resultados económicos serán simulados, no ahorros medidos en Farmaenlace. Si el costo base es cero, se informará la diferencia absoluta.</w:t>
      </w:r>
    </w:p>
    <w:p>
      <w:pPr>
        <w:pStyle w:val="Heading1"/>
        <w:keepNext/>
        <w:spacing w:before="120" w:after="60" w:line="240" w:lineRule="auto"/>
      </w:pPr>
      <w:r>
        <w:rPr>
          <w:rFonts w:ascii="Arial" w:hAnsi="Arial"/>
          <w:b/>
          <w:i w:val="0"/>
          <w:color w:val="000000"/>
          <w:sz w:val="25"/>
        </w:rPr>
        <w:t>Alineación con la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9"/>
        <w:gridCol w:w="6984"/>
      </w:tblGrid>
      <w:tr>
        <w:trPr>
          <w:tblHeader w:val="true"/>
        </w:trPr>
        <w:tc>
          <w:tcPr>
            <w:tcW w:type="dxa" w:w="2232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19324A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7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19324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Peso</w:t>
            </w:r>
          </w:p>
        </w:tc>
        <w:tc>
          <w:tcPr>
            <w:tcW w:type="dxa" w:w="6983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19324A"/>
            <w:vAlign w:val="center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Evidencia a mostrar</w:t>
            </w:r>
          </w:p>
        </w:tc>
      </w:tr>
      <w:tr>
        <w:tc>
          <w:tcPr>
            <w:tcW w:type="dxa" w:w="2232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i w:val="0"/>
                <w:color w:val="202B35"/>
                <w:sz w:val="15"/>
              </w:rPr>
              <w:t>Valor e impacto</w:t>
            </w:r>
          </w:p>
        </w:tc>
        <w:tc>
          <w:tcPr>
            <w:tcW w:type="dxa" w:w="7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30</w:t>
            </w:r>
          </w:p>
        </w:tc>
        <w:tc>
          <w:tcPr>
            <w:tcW w:type="dxa" w:w="6983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Problema, usuario y métrica comparativa.</w:t>
            </w:r>
          </w:p>
        </w:tc>
      </w:tr>
      <w:tr>
        <w:tc>
          <w:tcPr>
            <w:tcW w:type="dxa" w:w="2232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5F7F9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i w:val="0"/>
                <w:color w:val="202B35"/>
                <w:sz w:val="15"/>
              </w:rPr>
              <w:t>Calidad técnica</w:t>
            </w:r>
          </w:p>
        </w:tc>
        <w:tc>
          <w:tcPr>
            <w:tcW w:type="dxa" w:w="7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5F7F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25</w:t>
            </w:r>
          </w:p>
        </w:tc>
        <w:tc>
          <w:tcPr>
            <w:tcW w:type="dxa" w:w="6983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5F7F9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Flujo funcional y simulación identificada.</w:t>
            </w:r>
          </w:p>
        </w:tc>
      </w:tr>
      <w:tr>
        <w:tc>
          <w:tcPr>
            <w:tcW w:type="dxa" w:w="2232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i w:val="0"/>
                <w:color w:val="202B35"/>
                <w:sz w:val="15"/>
              </w:rPr>
              <w:t>Novedad</w:t>
            </w:r>
          </w:p>
        </w:tc>
        <w:tc>
          <w:tcPr>
            <w:tcW w:type="dxa" w:w="7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20</w:t>
            </w:r>
          </w:p>
        </w:tc>
        <w:tc>
          <w:tcPr>
            <w:tcW w:type="dxa" w:w="6983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Ubicación y caducidad cambian la acción.</w:t>
            </w:r>
          </w:p>
        </w:tc>
      </w:tr>
      <w:tr>
        <w:tc>
          <w:tcPr>
            <w:tcW w:type="dxa" w:w="2232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5F7F9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i w:val="0"/>
                <w:color w:val="202B35"/>
                <w:sz w:val="15"/>
              </w:rPr>
              <w:t>Viabilidad</w:t>
            </w:r>
          </w:p>
        </w:tc>
        <w:tc>
          <w:tcPr>
            <w:tcW w:type="dxa" w:w="7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5F7F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15</w:t>
            </w:r>
          </w:p>
        </w:tc>
        <w:tc>
          <w:tcPr>
            <w:tcW w:type="dxa" w:w="6983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shd w:fill="F5F7F9"/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Datos e integraciones para un piloto.</w:t>
            </w:r>
          </w:p>
        </w:tc>
      </w:tr>
      <w:tr>
        <w:tc>
          <w:tcPr>
            <w:tcW w:type="dxa" w:w="2232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/>
                <w:i w:val="0"/>
                <w:color w:val="202B35"/>
                <w:sz w:val="15"/>
              </w:rPr>
              <w:t>Presentación</w:t>
            </w:r>
          </w:p>
        </w:tc>
        <w:tc>
          <w:tcPr>
            <w:tcW w:type="dxa" w:w="748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10</w:t>
            </w:r>
          </w:p>
        </w:tc>
        <w:tc>
          <w:tcPr>
            <w:tcW w:type="dxa" w:w="6983"/>
            <w:tcBorders>
              <w:top w:val="single" w:sz="4" w:color="D8E0E6"/>
              <w:bottom w:val="single" w:sz="4" w:color="D8E0E6"/>
              <w:left w:val="single" w:sz="4" w:color="D8E0E6"/>
              <w:right w:val="single" w:sz="4" w:color="D8E0E6"/>
            </w:tcBorders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5"/>
              </w:rPr>
            </w:r>
            <w:r>
              <w:rPr>
                <w:rFonts w:ascii="Arial" w:hAnsi="Arial"/>
                <w:b w:val="0"/>
                <w:i w:val="0"/>
                <w:color w:val="202B35"/>
                <w:sz w:val="15"/>
              </w:rPr>
              <w:t>Caso breve y demo clara en el pitch.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/>
          <w:b w:val="0"/>
          <w:i/>
          <w:color w:val="53616E"/>
          <w:sz w:val="14"/>
        </w:rPr>
        <w:t>El reto, los datos disponibles y los permisos de integración deben confirmarse antes de proponer un piloto real.</w:t>
      </w:r>
    </w:p>
    <w:sectPr w:rsidR="00FC693F" w:rsidRPr="0006063C" w:rsidSect="00034616">
      <w:pgSz w:w="12240" w:h="15840"/>
      <w:pgMar w:top="806" w:right="979" w:bottom="806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rial" w:hAnsi="Arial"/>
      <w:color w:val="202B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Reabastecimiento predictivo geoespacial para Farmaenlace</dc:title>
  <dc:subject>Problema, posibles causas, solución e impacto esperado</dc:subject>
  <dc:creator>Los 21 Pilotos</dc:creator>
  <cp:keywords>Farmaenlace, inventario, geoespacial,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