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31E" w:rsidRDefault="0012031E" w:rsidP="00E0751D">
      <w:pPr>
        <w:spacing w:after="0" w:line="240" w:lineRule="auto"/>
      </w:pPr>
      <w:bookmarkStart w:id="0" w:name="_GoBack"/>
      <w:bookmarkEnd w:id="0"/>
    </w:p>
    <w:p w:rsidR="0012031E" w:rsidRDefault="0012031E" w:rsidP="00E0751D">
      <w:pPr>
        <w:spacing w:after="0" w:line="240" w:lineRule="auto"/>
      </w:pPr>
    </w:p>
    <w:p w:rsidR="00E0751D" w:rsidRPr="0012031E" w:rsidRDefault="00E0751D" w:rsidP="0012031E">
      <w:pPr>
        <w:spacing w:after="0" w:line="240" w:lineRule="auto"/>
        <w:jc w:val="center"/>
        <w:rPr>
          <w:rStyle w:val="Hipervnculo"/>
          <w:rFonts w:cs="Calibri"/>
          <w:b/>
          <w:sz w:val="28"/>
          <w:szCs w:val="28"/>
        </w:rPr>
      </w:pPr>
      <w:r w:rsidRPr="0012031E">
        <w:rPr>
          <w:rStyle w:val="Hipervnculo"/>
          <w:rFonts w:cs="Calibri"/>
          <w:b/>
          <w:sz w:val="28"/>
          <w:szCs w:val="28"/>
        </w:rPr>
        <w:t>NOTAS DE DI</w:t>
      </w:r>
      <w:r w:rsidR="00A449F1">
        <w:rPr>
          <w:rStyle w:val="Hipervnculo"/>
          <w:rFonts w:cs="Calibri"/>
          <w:b/>
          <w:sz w:val="28"/>
          <w:szCs w:val="28"/>
        </w:rPr>
        <w:t>S</w:t>
      </w:r>
      <w:r w:rsidRPr="0012031E">
        <w:rPr>
          <w:rStyle w:val="Hipervnculo"/>
          <w:rFonts w:cs="Calibri"/>
          <w:b/>
          <w:sz w:val="28"/>
          <w:szCs w:val="28"/>
        </w:rPr>
        <w:t>CIPLINA FINANCIERA</w:t>
      </w:r>
    </w:p>
    <w:p w:rsidR="00E0751D" w:rsidRDefault="00E0751D" w:rsidP="00E0751D">
      <w:pPr>
        <w:spacing w:after="0" w:line="240" w:lineRule="auto"/>
      </w:pPr>
    </w:p>
    <w:p w:rsidR="0012031E" w:rsidRDefault="0012031E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1. Balance Presupuestario de Recursos Disponibles Negativo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12031E">
      <w:pPr>
        <w:spacing w:after="0" w:line="240" w:lineRule="auto"/>
        <w:jc w:val="both"/>
      </w:pPr>
      <w:r>
        <w:t>a) Acciones para recuperar el Balance Presupuestario de Recursos Disponibles Sostenible</w:t>
      </w:r>
      <w:r w:rsidR="0012031E">
        <w:t>.</w:t>
      </w:r>
    </w:p>
    <w:p w:rsidR="00AF5CAD" w:rsidRDefault="00A449F1" w:rsidP="00E0751D">
      <w:pPr>
        <w:spacing w:after="0" w:line="240" w:lineRule="auto"/>
        <w:rPr>
          <w:b/>
        </w:rPr>
      </w:pPr>
      <w:r w:rsidRPr="001B4076">
        <w:rPr>
          <w:b/>
        </w:rPr>
        <w:t>R= No se determina un Balance Presupuestario de Recursos Disponible Negativo para la institución en el periodo reportado.</w:t>
      </w:r>
    </w:p>
    <w:p w:rsidR="00A449F1" w:rsidRPr="00A449F1" w:rsidRDefault="00A449F1" w:rsidP="00E0751D">
      <w:pPr>
        <w:spacing w:after="0" w:line="240" w:lineRule="auto"/>
      </w:pPr>
    </w:p>
    <w:p w:rsidR="00E0751D" w:rsidRDefault="00AF5CAD" w:rsidP="00E0751D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6 y 19</w:t>
      </w:r>
      <w:r>
        <w:rPr>
          <w:i/>
        </w:rPr>
        <w:t xml:space="preserve"> LDF</w:t>
      </w:r>
    </w:p>
    <w:p w:rsidR="00AF5CAD" w:rsidRPr="00AF5CAD" w:rsidRDefault="00D9210D" w:rsidP="00E0751D">
      <w:pPr>
        <w:spacing w:after="0" w:line="240" w:lineRule="auto"/>
        <w:rPr>
          <w:i/>
        </w:rPr>
      </w:pPr>
      <w:r w:rsidRPr="006C1A4A">
        <w:rPr>
          <w:noProof/>
          <w:lang w:eastAsia="es-MX"/>
        </w:rPr>
        <w:drawing>
          <wp:inline distT="0" distB="0" distL="0" distR="0">
            <wp:extent cx="3905250" cy="3533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981450" cy="1704975"/>
            <wp:effectExtent l="0" t="0" r="0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2. Aumento o creación de nuevo Gasto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A449F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Fuente de Ingresos del aumento o creación del Gasto no Etiquetado</w:t>
      </w:r>
      <w:r w:rsidR="0012031E">
        <w:t>.</w:t>
      </w:r>
    </w:p>
    <w:p w:rsidR="00A449F1" w:rsidRDefault="00A449F1" w:rsidP="00A449F1">
      <w:pPr>
        <w:pStyle w:val="Prrafodelista"/>
        <w:spacing w:after="0" w:line="240" w:lineRule="auto"/>
        <w:jc w:val="both"/>
      </w:pPr>
      <w:r w:rsidRPr="003E4738">
        <w:rPr>
          <w:b/>
        </w:rPr>
        <w:t>R= Compensación con reducciones en previsiones de gastos</w:t>
      </w:r>
    </w:p>
    <w:p w:rsidR="00E0751D" w:rsidRDefault="00E0751D" w:rsidP="00A449F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lastRenderedPageBreak/>
        <w:t>Fuente de Ingresos del aumento o creación del Gasto Etiquetado</w:t>
      </w:r>
      <w:r w:rsidR="0012031E">
        <w:t>.</w:t>
      </w:r>
    </w:p>
    <w:p w:rsidR="00E0751D" w:rsidRDefault="00A449F1" w:rsidP="00A449F1">
      <w:pPr>
        <w:pStyle w:val="Prrafodelista"/>
        <w:spacing w:after="0" w:line="240" w:lineRule="auto"/>
        <w:jc w:val="both"/>
      </w:pPr>
      <w:r w:rsidRPr="003E4738">
        <w:rPr>
          <w:b/>
        </w:rPr>
        <w:t>R= Estatal</w:t>
      </w:r>
    </w:p>
    <w:p w:rsidR="00A449F1" w:rsidRDefault="00A449F1" w:rsidP="00E0751D">
      <w:pPr>
        <w:spacing w:after="0" w:line="240" w:lineRule="auto"/>
      </w:pPr>
    </w:p>
    <w:p w:rsidR="00AF5CAD" w:rsidRDefault="00AF5CAD" w:rsidP="00E0751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8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914775" cy="8191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3. Pasivo Circulante al Cierre del Ejercicio</w:t>
      </w:r>
      <w:r w:rsidR="00D217E5">
        <w:rPr>
          <w:b/>
        </w:rPr>
        <w:t xml:space="preserve"> (ESF-12)</w:t>
      </w:r>
    </w:p>
    <w:p w:rsidR="00E0751D" w:rsidRDefault="00E0751D" w:rsidP="00E0751D">
      <w:pPr>
        <w:spacing w:after="0" w:line="240" w:lineRule="auto"/>
      </w:pPr>
      <w:r>
        <w:t>Se informará solo al 31 de diciembre</w:t>
      </w:r>
    </w:p>
    <w:p w:rsidR="00E0751D" w:rsidRDefault="00E0751D" w:rsidP="00E0751D">
      <w:pPr>
        <w:spacing w:after="0" w:line="240" w:lineRule="au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970"/>
        <w:gridCol w:w="1700"/>
        <w:gridCol w:w="1417"/>
        <w:gridCol w:w="1603"/>
      </w:tblGrid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Ente Público</w:t>
            </w:r>
          </w:p>
        </w:tc>
      </w:tr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Informe de cuentas por pagar y que integran el pasivo circulante al cierre del ejercicio</w:t>
            </w:r>
          </w:p>
        </w:tc>
      </w:tr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Ejercicio 20XN</w:t>
            </w:r>
          </w:p>
        </w:tc>
      </w:tr>
      <w:tr w:rsidR="00E0751D" w:rsidRPr="00A449F1" w:rsidTr="00E0751D">
        <w:trPr>
          <w:trHeight w:val="720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COG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Concepto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Devengado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(a)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Pagado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(b)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Cuentas por pagar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(c) = (a-b)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No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</w:tbl>
    <w:p w:rsidR="00E0751D" w:rsidRDefault="00E0751D" w:rsidP="00E0751D">
      <w:pPr>
        <w:spacing w:after="0" w:line="240" w:lineRule="auto"/>
      </w:pPr>
    </w:p>
    <w:p w:rsidR="00AF5CAD" w:rsidRDefault="00AF5CAD" w:rsidP="00AF5CA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13 VII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57625" cy="228600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lastRenderedPageBreak/>
        <w:drawing>
          <wp:inline distT="0" distB="0" distL="0" distR="0">
            <wp:extent cx="3848100" cy="495300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4. Deuda Pública y Obligaciones</w:t>
      </w:r>
    </w:p>
    <w:p w:rsidR="00E0751D" w:rsidRDefault="00E0751D" w:rsidP="00E0751D">
      <w:pPr>
        <w:spacing w:after="0" w:line="240" w:lineRule="auto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cada Financiamiento u Obligación contraída en los términos del Título Tercero Capítulo Uno de la Ley de Disciplina Financiera de las Entidades Federativas y Municipios, incluyendo como mínimo, el importe, tasa, plazo, comisiones y demás accesorios pactados.</w:t>
      </w:r>
    </w:p>
    <w:p w:rsidR="00E0751D" w:rsidRDefault="00A449F1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 deuda pública contratada.</w:t>
      </w:r>
    </w:p>
    <w:p w:rsidR="00A449F1" w:rsidRPr="00A449F1" w:rsidRDefault="00A449F1" w:rsidP="00E0751D">
      <w:pPr>
        <w:spacing w:after="0" w:line="240" w:lineRule="auto"/>
        <w:jc w:val="both"/>
      </w:pPr>
    </w:p>
    <w:p w:rsidR="00AF5CAD" w:rsidRDefault="00AF5CAD" w:rsidP="00E0751D">
      <w:pPr>
        <w:spacing w:after="0" w:line="240" w:lineRule="auto"/>
        <w:jc w:val="both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25 LDF</w:t>
      </w:r>
    </w:p>
    <w:p w:rsidR="00AF5CAD" w:rsidRDefault="00D9210D" w:rsidP="00E0751D">
      <w:pPr>
        <w:spacing w:after="0" w:line="240" w:lineRule="auto"/>
        <w:jc w:val="both"/>
      </w:pPr>
      <w:r w:rsidRPr="006C1A4A">
        <w:rPr>
          <w:noProof/>
          <w:lang w:eastAsia="es-MX"/>
        </w:rPr>
        <w:drawing>
          <wp:inline distT="0" distB="0" distL="0" distR="0">
            <wp:extent cx="3771900" cy="885825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E0751D" w:rsidP="00E0751D">
      <w:pPr>
        <w:spacing w:after="0" w:line="240" w:lineRule="auto"/>
        <w:jc w:val="both"/>
      </w:pPr>
    </w:p>
    <w:p w:rsidR="00E0751D" w:rsidRPr="0012031E" w:rsidRDefault="00E0751D" w:rsidP="00E0751D">
      <w:pPr>
        <w:spacing w:after="0" w:line="240" w:lineRule="auto"/>
        <w:jc w:val="both"/>
        <w:rPr>
          <w:b/>
        </w:rPr>
      </w:pPr>
      <w:r w:rsidRPr="0012031E">
        <w:rPr>
          <w:b/>
        </w:rPr>
        <w:t>5. Obligaciones a Corto Plazo</w:t>
      </w:r>
    </w:p>
    <w:p w:rsidR="00E0751D" w:rsidRDefault="00E0751D" w:rsidP="00E0751D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las Obligaciones a corto plazo contraídas en los términos del Título Tercero Capítulo Uno de la Ley de Disciplina Financiera de las Entidades Federativas y Municipios, incluyendo por lo menos importe, tasas, plazo, comisiones y cualquier costo relacionado, así mismo se deberá incluir la tasa efectiva.</w:t>
      </w:r>
    </w:p>
    <w:p w:rsidR="0012031E" w:rsidRDefault="00A449F1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tienen compromisos de pago por obligaciones a corto plazo.</w:t>
      </w:r>
    </w:p>
    <w:p w:rsidR="00A449F1" w:rsidRPr="00A449F1" w:rsidRDefault="00A449F1" w:rsidP="00E0751D">
      <w:pPr>
        <w:spacing w:after="0" w:line="240" w:lineRule="auto"/>
        <w:jc w:val="both"/>
      </w:pPr>
    </w:p>
    <w:p w:rsidR="0012031E" w:rsidRDefault="00AF5CAD" w:rsidP="00E0751D">
      <w:pPr>
        <w:spacing w:after="0" w:line="240" w:lineRule="auto"/>
        <w:jc w:val="both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31 LDF</w:t>
      </w:r>
    </w:p>
    <w:p w:rsidR="00AF5CAD" w:rsidRDefault="00D9210D" w:rsidP="00E0751D">
      <w:pPr>
        <w:spacing w:after="0" w:line="240" w:lineRule="auto"/>
        <w:jc w:val="both"/>
      </w:pPr>
      <w:r w:rsidRPr="006C1A4A">
        <w:rPr>
          <w:noProof/>
          <w:lang w:eastAsia="es-MX"/>
        </w:rPr>
        <w:drawing>
          <wp:inline distT="0" distB="0" distL="0" distR="0">
            <wp:extent cx="3829050" cy="952500"/>
            <wp:effectExtent l="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  <w:jc w:val="both"/>
      </w:pPr>
    </w:p>
    <w:p w:rsidR="00E0751D" w:rsidRPr="0012031E" w:rsidRDefault="0012031E" w:rsidP="0012031E">
      <w:pPr>
        <w:spacing w:after="0" w:line="240" w:lineRule="auto"/>
        <w:rPr>
          <w:b/>
        </w:rPr>
      </w:pPr>
      <w:r w:rsidRPr="0012031E">
        <w:rPr>
          <w:b/>
        </w:rPr>
        <w:t>6. Evaluación de Cumplimiento</w:t>
      </w:r>
    </w:p>
    <w:p w:rsidR="0012031E" w:rsidRDefault="0012031E" w:rsidP="0012031E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12031E" w:rsidRDefault="0012031E" w:rsidP="0012031E">
      <w:pPr>
        <w:spacing w:after="0" w:line="240" w:lineRule="auto"/>
      </w:pPr>
      <w:r w:rsidRPr="0012031E">
        <w:t>a) La información relativa al cumplimiento de los convenios de Deuda Garantizada.</w:t>
      </w:r>
    </w:p>
    <w:p w:rsidR="00AF5CAD" w:rsidRDefault="00A449F1" w:rsidP="0012031E">
      <w:pPr>
        <w:spacing w:after="0" w:line="240" w:lineRule="auto"/>
      </w:pPr>
      <w:r w:rsidRPr="003E4738">
        <w:rPr>
          <w:b/>
        </w:rPr>
        <w:t>R= La institución no ha celebrado convenios de Deuda Garantizada.</w:t>
      </w:r>
    </w:p>
    <w:p w:rsidR="00AF5CAD" w:rsidRDefault="00AF5CAD" w:rsidP="0012031E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40 LDF</w:t>
      </w:r>
    </w:p>
    <w:p w:rsidR="00AF5CAD" w:rsidRDefault="00D9210D" w:rsidP="0012031E">
      <w:pPr>
        <w:spacing w:after="0" w:line="240" w:lineRule="auto"/>
        <w:rPr>
          <w:i/>
        </w:rPr>
      </w:pPr>
      <w:r w:rsidRPr="006C1A4A">
        <w:rPr>
          <w:noProof/>
          <w:lang w:eastAsia="es-MX"/>
        </w:rPr>
        <w:lastRenderedPageBreak/>
        <w:drawing>
          <wp:inline distT="0" distB="0" distL="0" distR="0">
            <wp:extent cx="3981450" cy="1609725"/>
            <wp:effectExtent l="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Pr="00AF5CAD" w:rsidRDefault="00AF5CAD" w:rsidP="0012031E">
      <w:pPr>
        <w:spacing w:after="0" w:line="240" w:lineRule="auto"/>
        <w:rPr>
          <w:i/>
        </w:rPr>
      </w:pPr>
    </w:p>
    <w:sectPr w:rsidR="00AF5CAD" w:rsidRPr="00AF5CAD" w:rsidSect="00E0751D">
      <w:headerReference w:type="default" r:id="rId19"/>
      <w:footerReference w:type="default" r:id="rId2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429" w:rsidRDefault="00ED0429" w:rsidP="0012031E">
      <w:pPr>
        <w:spacing w:after="0" w:line="240" w:lineRule="auto"/>
      </w:pPr>
      <w:r>
        <w:separator/>
      </w:r>
    </w:p>
  </w:endnote>
  <w:endnote w:type="continuationSeparator" w:id="0">
    <w:p w:rsidR="00ED0429" w:rsidRDefault="00ED0429" w:rsidP="0012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1E" w:rsidRDefault="0012031E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B37DFB" w:rsidRPr="00B37DFB">
      <w:rPr>
        <w:noProof/>
        <w:lang w:val="es-ES"/>
      </w:rPr>
      <w:t>1</w:t>
    </w:r>
    <w:r>
      <w:fldChar w:fldCharType="end"/>
    </w:r>
  </w:p>
  <w:p w:rsidR="0012031E" w:rsidRDefault="001203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429" w:rsidRDefault="00ED0429" w:rsidP="0012031E">
      <w:pPr>
        <w:spacing w:after="0" w:line="240" w:lineRule="auto"/>
      </w:pPr>
      <w:r>
        <w:separator/>
      </w:r>
    </w:p>
  </w:footnote>
  <w:footnote w:type="continuationSeparator" w:id="0">
    <w:p w:rsidR="00ED0429" w:rsidRDefault="00ED0429" w:rsidP="0012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1E" w:rsidRDefault="00A449F1" w:rsidP="0012031E">
    <w:pPr>
      <w:pStyle w:val="Encabezado"/>
      <w:jc w:val="center"/>
    </w:pPr>
    <w:r>
      <w:t>Patronato del Parque Zoológico de León</w:t>
    </w:r>
  </w:p>
  <w:p w:rsidR="0012031E" w:rsidRDefault="0012031E" w:rsidP="0012031E">
    <w:pPr>
      <w:pStyle w:val="Encabezado"/>
      <w:jc w:val="center"/>
    </w:pPr>
    <w:r w:rsidRPr="00A4610E">
      <w:t>CORRESPONDI</w:t>
    </w:r>
    <w:r w:rsidR="00630B1A">
      <w:t>ENTES AL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C4475"/>
    <w:multiLevelType w:val="hybridMultilevel"/>
    <w:tmpl w:val="C9FC82C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1D"/>
    <w:rsid w:val="0012031E"/>
    <w:rsid w:val="004C23EA"/>
    <w:rsid w:val="00630B1A"/>
    <w:rsid w:val="006D61E8"/>
    <w:rsid w:val="00940570"/>
    <w:rsid w:val="009967AB"/>
    <w:rsid w:val="00A449F1"/>
    <w:rsid w:val="00A827B2"/>
    <w:rsid w:val="00AE2E14"/>
    <w:rsid w:val="00AF5CAD"/>
    <w:rsid w:val="00B37DFB"/>
    <w:rsid w:val="00D217E5"/>
    <w:rsid w:val="00D9210D"/>
    <w:rsid w:val="00E0751D"/>
    <w:rsid w:val="00EC58B0"/>
    <w:rsid w:val="00ED0429"/>
    <w:rsid w:val="00F4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A8AE6-FB35-424D-98E1-4AA39E3A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51D"/>
    <w:pPr>
      <w:ind w:left="720"/>
      <w:contextualSpacing/>
    </w:pPr>
  </w:style>
  <w:style w:type="character" w:styleId="Hipervnculo">
    <w:name w:val="Hyperlink"/>
    <w:uiPriority w:val="99"/>
    <w:unhideWhenUsed/>
    <w:rsid w:val="0012031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1E"/>
  </w:style>
  <w:style w:type="paragraph" w:styleId="Piedepgina">
    <w:name w:val="footer"/>
    <w:basedOn w:val="Normal"/>
    <w:link w:val="Piedepgina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1E"/>
  </w:style>
  <w:style w:type="paragraph" w:styleId="Textodeglobo">
    <w:name w:val="Balloon Text"/>
    <w:basedOn w:val="Normal"/>
    <w:link w:val="TextodegloboCar"/>
    <w:uiPriority w:val="99"/>
    <w:semiHidden/>
    <w:unhideWhenUsed/>
    <w:rsid w:val="00A44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44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77482073C494DB65515C3369AA0B4" ma:contentTypeVersion="0" ma:contentTypeDescription="Crear nuevo documento." ma:contentTypeScope="" ma:versionID="d630b5c2871309c5c86f0b7bf850b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E38EEC-FA44-4A3B-97CE-11288FF66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E6045A-5EF8-4EDA-9E9C-43EFC75C89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C24E1-7502-469E-8422-37EF5C4D9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 Barrientos Alejandro</dc:creator>
  <cp:keywords/>
  <dc:description/>
  <cp:lastModifiedBy>Luffi</cp:lastModifiedBy>
  <cp:revision>2</cp:revision>
  <cp:lastPrinted>2021-01-22T06:45:00Z</cp:lastPrinted>
  <dcterms:created xsi:type="dcterms:W3CDTF">2021-01-22T06:46:00Z</dcterms:created>
  <dcterms:modified xsi:type="dcterms:W3CDTF">2021-01-22T06:46:00Z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0x010100EA877482073C494DB65515C3369AA0B4</vt:lpwstr>
  </property>
</Properties>
</file>