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8A46C4"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Pr>
            <w:noProof/>
            <w:webHidden/>
          </w:rPr>
          <w:t>1</w:t>
        </w:r>
        <w:r>
          <w:rPr>
            <w:noProof/>
            <w:webHidden/>
          </w:rPr>
          <w:fldChar w:fldCharType="end"/>
        </w:r>
      </w:hyperlink>
    </w:p>
    <w:p w:rsidR="00F46719" w:rsidRDefault="008A46C4">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8A46C4">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8A46C4">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46719">
          <w:rPr>
            <w:noProof/>
            <w:webHidden/>
          </w:rPr>
          <w:t>2</w:t>
        </w:r>
        <w:r w:rsidR="00F46719">
          <w:rPr>
            <w:noProof/>
            <w:webHidden/>
          </w:rPr>
          <w:fldChar w:fldCharType="end"/>
        </w:r>
      </w:hyperlink>
    </w:p>
    <w:p w:rsidR="00F46719" w:rsidRDefault="008A46C4">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46719">
          <w:rPr>
            <w:noProof/>
            <w:webHidden/>
          </w:rPr>
          <w:t>3</w:t>
        </w:r>
        <w:r w:rsidR="00F46719">
          <w:rPr>
            <w:noProof/>
            <w:webHidden/>
          </w:rPr>
          <w:fldChar w:fldCharType="end"/>
        </w:r>
      </w:hyperlink>
    </w:p>
    <w:p w:rsidR="00F46719" w:rsidRDefault="008A46C4">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46719">
          <w:rPr>
            <w:noProof/>
            <w:webHidden/>
          </w:rPr>
          <w:t>4</w:t>
        </w:r>
        <w:r w:rsidR="00F46719">
          <w:rPr>
            <w:noProof/>
            <w:webHidden/>
          </w:rPr>
          <w:fldChar w:fldCharType="end"/>
        </w:r>
      </w:hyperlink>
    </w:p>
    <w:p w:rsidR="00F46719" w:rsidRDefault="008A46C4">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46719">
          <w:rPr>
            <w:noProof/>
            <w:webHidden/>
          </w:rPr>
          <w:t>5</w:t>
        </w:r>
        <w:r w:rsidR="00F46719">
          <w:rPr>
            <w:noProof/>
            <w:webHidden/>
          </w:rPr>
          <w:fldChar w:fldCharType="end"/>
        </w:r>
      </w:hyperlink>
    </w:p>
    <w:p w:rsidR="00F46719" w:rsidRDefault="008A46C4">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46719">
          <w:rPr>
            <w:noProof/>
            <w:webHidden/>
          </w:rPr>
          <w:t>6</w:t>
        </w:r>
        <w:r w:rsidR="00F46719">
          <w:rPr>
            <w:noProof/>
            <w:webHidden/>
          </w:rPr>
          <w:fldChar w:fldCharType="end"/>
        </w:r>
      </w:hyperlink>
    </w:p>
    <w:p w:rsidR="00F46719" w:rsidRDefault="008A46C4">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8A46C4">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8A46C4">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8A46C4">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8A46C4">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8A46C4">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8A46C4">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8A46C4">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8A46C4">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t>1. Introducción:</w:t>
      </w:r>
      <w:bookmarkEnd w:id="0"/>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 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rsidR="007D1E76" w:rsidRPr="00E74967" w:rsidRDefault="005F2412" w:rsidP="00CB41C4">
      <w:pPr>
        <w:tabs>
          <w:tab w:val="left" w:leader="underscore" w:pos="9639"/>
        </w:tabs>
        <w:spacing w:after="0" w:line="240" w:lineRule="auto"/>
        <w:jc w:val="both"/>
        <w:rPr>
          <w:rFonts w:cs="Calibri"/>
        </w:rPr>
      </w:pPr>
      <w:r w:rsidRPr="000272FD">
        <w:rPr>
          <w:rFonts w:cs="Arial"/>
        </w:rPr>
        <w:t>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Zoona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Zoona Mito, </w:t>
      </w:r>
      <w:r>
        <w:rPr>
          <w:rFonts w:cs="Arial"/>
        </w:rPr>
        <w:t>el Herpetario,</w:t>
      </w:r>
      <w:r w:rsidRPr="000272FD">
        <w:rPr>
          <w:rFonts w:cs="Arial"/>
        </w:rPr>
        <w:t xml:space="preserve"> el Carrusel Temático</w:t>
      </w:r>
      <w:r>
        <w:rPr>
          <w:rFonts w:cs="Arial"/>
        </w:rPr>
        <w:t>, la Zona Lemur y Perro Parque</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t xml:space="preserve">Enero a Diciembre de </w:t>
      </w:r>
      <w:r w:rsidR="001767E6">
        <w:rPr>
          <w:rFonts w:cs="Calibri"/>
        </w:rPr>
        <w:t>2020</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7D1E76" w:rsidRPr="00E74967" w:rsidRDefault="007D1E76" w:rsidP="00CB41C4">
      <w:pPr>
        <w:tabs>
          <w:tab w:val="left" w:leader="underscore" w:pos="9639"/>
        </w:tabs>
        <w:spacing w:after="0" w:line="240" w:lineRule="auto"/>
        <w:ind w:firstLine="708"/>
        <w:jc w:val="both"/>
        <w:rPr>
          <w:rFonts w:cs="Calibri"/>
        </w:rPr>
      </w:pPr>
      <w:r w:rsidRPr="00E74967">
        <w:rPr>
          <w:rFonts w:cs="Calibri"/>
        </w:rPr>
        <w:t>*Anexar organigrama de la entidad.</w:t>
      </w:r>
    </w:p>
    <w:p w:rsidR="007D1E76" w:rsidRDefault="007D1E76" w:rsidP="00CB41C4">
      <w:pPr>
        <w:tabs>
          <w:tab w:val="left" w:leader="underscore" w:pos="9639"/>
        </w:tabs>
        <w:spacing w:after="0" w:line="240" w:lineRule="auto"/>
        <w:jc w:val="both"/>
        <w:rPr>
          <w:rFonts w:cs="Calibri"/>
        </w:rPr>
      </w:pPr>
    </w:p>
    <w:p w:rsidR="00CB41C4" w:rsidRDefault="001B614E" w:rsidP="005F2412">
      <w:pPr>
        <w:tabs>
          <w:tab w:val="left" w:leader="underscore" w:pos="9639"/>
        </w:tabs>
        <w:spacing w:after="0" w:line="240" w:lineRule="auto"/>
        <w:jc w:val="center"/>
        <w:rPr>
          <w:rFonts w:cs="Calibri"/>
        </w:rPr>
      </w:pPr>
      <w:r w:rsidRPr="005668A9">
        <w:rPr>
          <w:rFonts w:cs="Calibri"/>
          <w:noProof/>
          <w:lang w:eastAsia="es-MX"/>
        </w:rPr>
        <w:drawing>
          <wp:inline distT="0" distB="0" distL="0" distR="0">
            <wp:extent cx="4886325"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w:t>
      </w:r>
      <w:r w:rsidRPr="00E74967">
        <w:rPr>
          <w:rFonts w:cs="Calibri"/>
        </w:rPr>
        <w:lastRenderedPageBreak/>
        <w:t>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w:t>
      </w:r>
      <w:r>
        <w:rPr>
          <w:rFonts w:cs="Arial"/>
        </w:rPr>
        <w:t>presupuestado para generar</w:t>
      </w:r>
      <w:r w:rsidRPr="000272FD">
        <w:rPr>
          <w:rFonts w:cs="Arial"/>
        </w:rPr>
        <w:t xml:space="preserve"> el pasivo mencionado anteriormente para el ejercicio 201</w:t>
      </w:r>
      <w:r>
        <w:rPr>
          <w:rFonts w:cs="Arial"/>
        </w:rPr>
        <w:t>9</w:t>
      </w:r>
      <w:r w:rsidR="005668A9">
        <w:rPr>
          <w:rFonts w:cs="Arial"/>
        </w:rPr>
        <w:t xml:space="preserve"> es de $2</w:t>
      </w:r>
      <w:r w:rsidRPr="000272FD">
        <w:rPr>
          <w:rFonts w:cs="Arial"/>
        </w:rPr>
        <w:t>´</w:t>
      </w:r>
      <w:r w:rsidR="001767E6">
        <w:rPr>
          <w:rFonts w:cs="Arial"/>
        </w:rPr>
        <w:t>135</w:t>
      </w:r>
      <w:r w:rsidRPr="000272FD">
        <w:rPr>
          <w:rFonts w:cs="Arial"/>
        </w:rPr>
        <w:t>,</w:t>
      </w:r>
      <w:r w:rsidR="001767E6">
        <w:rPr>
          <w:rFonts w:cs="Arial"/>
        </w:rPr>
        <w:t>061</w:t>
      </w:r>
      <w:r w:rsidRPr="000272FD">
        <w:rPr>
          <w:rFonts w:cs="Arial"/>
        </w:rPr>
        <w:t>.</w:t>
      </w:r>
      <w:r w:rsidR="001767E6">
        <w:rPr>
          <w:rFonts w:cs="Arial"/>
        </w:rPr>
        <w:t>4</w:t>
      </w:r>
      <w:r w:rsidR="005668A9">
        <w:rPr>
          <w:rFonts w:cs="Arial"/>
        </w:rPr>
        <w:t>5</w:t>
      </w:r>
      <w:r w:rsidRPr="000272FD">
        <w:rPr>
          <w:rFonts w:cs="Arial"/>
        </w:rPr>
        <w:t xml:space="preserve"> (</w:t>
      </w:r>
      <w:r w:rsidR="005668A9">
        <w:rPr>
          <w:rFonts w:cs="Arial"/>
        </w:rPr>
        <w:t xml:space="preserve">Dos </w:t>
      </w:r>
      <w:r w:rsidR="007306FC">
        <w:rPr>
          <w:rFonts w:cs="Arial"/>
        </w:rPr>
        <w:t>m</w:t>
      </w:r>
      <w:r w:rsidRPr="000272FD">
        <w:rPr>
          <w:rFonts w:cs="Arial"/>
        </w:rPr>
        <w:t>ill</w:t>
      </w:r>
      <w:r w:rsidR="005668A9">
        <w:rPr>
          <w:rFonts w:cs="Arial"/>
        </w:rPr>
        <w:t>ones</w:t>
      </w:r>
      <w:r w:rsidRPr="000272FD">
        <w:rPr>
          <w:rFonts w:cs="Arial"/>
        </w:rPr>
        <w:t xml:space="preserve"> </w:t>
      </w:r>
      <w:r w:rsidR="007306FC">
        <w:rPr>
          <w:rFonts w:cs="Arial"/>
        </w:rPr>
        <w:t>c</w:t>
      </w:r>
      <w:r w:rsidR="001767E6">
        <w:rPr>
          <w:rFonts w:cs="Arial"/>
        </w:rPr>
        <w:t>iento trein</w:t>
      </w:r>
      <w:r w:rsidR="005668A9">
        <w:rPr>
          <w:rFonts w:cs="Arial"/>
        </w:rPr>
        <w:t>ta y</w:t>
      </w:r>
      <w:r w:rsidR="001767E6">
        <w:rPr>
          <w:rFonts w:cs="Arial"/>
        </w:rPr>
        <w:t xml:space="preserve"> cinco </w:t>
      </w:r>
      <w:r w:rsidR="007306FC">
        <w:rPr>
          <w:rFonts w:cs="Arial"/>
        </w:rPr>
        <w:t>mil s</w:t>
      </w:r>
      <w:r w:rsidR="005668A9">
        <w:rPr>
          <w:rFonts w:cs="Arial"/>
        </w:rPr>
        <w:t>e</w:t>
      </w:r>
      <w:r w:rsidR="001767E6">
        <w:rPr>
          <w:rFonts w:cs="Arial"/>
        </w:rPr>
        <w:t xml:space="preserve">senta y un </w:t>
      </w:r>
      <w:r w:rsidR="007306FC">
        <w:rPr>
          <w:rFonts w:cs="Arial"/>
        </w:rPr>
        <w:t>p</w:t>
      </w:r>
      <w:r w:rsidRPr="000272FD">
        <w:rPr>
          <w:rFonts w:cs="Arial"/>
        </w:rPr>
        <w:t xml:space="preserve">esos </w:t>
      </w:r>
      <w:r w:rsidR="001767E6">
        <w:rPr>
          <w:rFonts w:cs="Arial"/>
        </w:rPr>
        <w:t>4</w:t>
      </w:r>
      <w:r w:rsidR="005668A9">
        <w:rPr>
          <w:rFonts w:cs="Arial"/>
        </w:rPr>
        <w:t>5</w:t>
      </w:r>
      <w:r w:rsidRPr="000272FD">
        <w:rPr>
          <w:rFonts w:cs="Arial"/>
        </w:rPr>
        <w:t xml:space="preserve">/100 M.N.) y el plazo es </w:t>
      </w:r>
      <w:r w:rsidR="001767E6">
        <w:rPr>
          <w:rFonts w:cs="Arial"/>
        </w:rPr>
        <w:t>de enero a diciembre de 2020</w:t>
      </w:r>
      <w:r w:rsidRPr="000272FD">
        <w:rPr>
          <w:rFonts w:cs="Arial"/>
        </w:rPr>
        <w:t>. El segundo concepto es el de C</w:t>
      </w:r>
      <w:r w:rsidR="005668A9">
        <w:rPr>
          <w:rFonts w:cs="Arial"/>
        </w:rPr>
        <w:t>ontingencias Laborales y se creó</w:t>
      </w:r>
      <w:r w:rsidRPr="000272FD">
        <w:rPr>
          <w:rFonts w:cs="Arial"/>
        </w:rPr>
        <w:t xml:space="preserve"> con la finalidad de poder atender situaciones o circunstancias no deseadas, producto de conflictos laborales o procesos de jubilaciones. El monto asignado en el ej</w:t>
      </w:r>
      <w:r w:rsidR="001767E6">
        <w:rPr>
          <w:rFonts w:cs="Arial"/>
        </w:rPr>
        <w:t xml:space="preserve">ercicio 2020 </w:t>
      </w:r>
      <w:r w:rsidRPr="000272FD">
        <w:rPr>
          <w:rFonts w:cs="Arial"/>
        </w:rPr>
        <w:t>para la</w:t>
      </w:r>
      <w:r w:rsidR="005668A9">
        <w:rPr>
          <w:rFonts w:cs="Arial"/>
        </w:rPr>
        <w:t xml:space="preserve"> partida antes señalada es de $</w:t>
      </w:r>
      <w:r w:rsidR="007306FC">
        <w:rPr>
          <w:rFonts w:cs="Arial"/>
        </w:rPr>
        <w:t>398</w:t>
      </w:r>
      <w:r w:rsidRPr="000272FD">
        <w:rPr>
          <w:rFonts w:cs="Arial"/>
        </w:rPr>
        <w:t>,</w:t>
      </w:r>
      <w:r w:rsidR="007306FC">
        <w:rPr>
          <w:rFonts w:cs="Arial"/>
        </w:rPr>
        <w:t>176</w:t>
      </w:r>
      <w:r w:rsidRPr="000272FD">
        <w:rPr>
          <w:rFonts w:cs="Arial"/>
        </w:rPr>
        <w:t>.</w:t>
      </w:r>
      <w:r w:rsidR="007306FC">
        <w:rPr>
          <w:rFonts w:cs="Arial"/>
        </w:rPr>
        <w:t xml:space="preserve">40 </w:t>
      </w:r>
      <w:r w:rsidRPr="000272FD">
        <w:rPr>
          <w:rFonts w:cs="Arial"/>
        </w:rPr>
        <w:t xml:space="preserve">(Trescientos </w:t>
      </w:r>
      <w:r w:rsidR="007306FC">
        <w:rPr>
          <w:rFonts w:cs="Arial"/>
        </w:rPr>
        <w:t>nov</w:t>
      </w:r>
      <w:r w:rsidR="005668A9">
        <w:rPr>
          <w:rFonts w:cs="Arial"/>
        </w:rPr>
        <w:t>enta y</w:t>
      </w:r>
      <w:r w:rsidR="007306FC">
        <w:rPr>
          <w:rFonts w:cs="Arial"/>
        </w:rPr>
        <w:t xml:space="preserve"> ocho m</w:t>
      </w:r>
      <w:r w:rsidRPr="000272FD">
        <w:rPr>
          <w:rFonts w:cs="Arial"/>
        </w:rPr>
        <w:t xml:space="preserve">il </w:t>
      </w:r>
      <w:r w:rsidR="005668A9">
        <w:rPr>
          <w:rFonts w:cs="Arial"/>
        </w:rPr>
        <w:t>c</w:t>
      </w:r>
      <w:r>
        <w:rPr>
          <w:rFonts w:cs="Arial"/>
        </w:rPr>
        <w:t>iento</w:t>
      </w:r>
      <w:r w:rsidRPr="000272FD">
        <w:rPr>
          <w:rFonts w:cs="Arial"/>
        </w:rPr>
        <w:t xml:space="preserve"> </w:t>
      </w:r>
      <w:r w:rsidR="007306FC">
        <w:rPr>
          <w:rFonts w:cs="Arial"/>
        </w:rPr>
        <w:t>s</w:t>
      </w:r>
      <w:r>
        <w:rPr>
          <w:rFonts w:cs="Arial"/>
        </w:rPr>
        <w:t>e</w:t>
      </w:r>
      <w:r w:rsidR="007306FC">
        <w:rPr>
          <w:rFonts w:cs="Arial"/>
        </w:rPr>
        <w:t>t</w:t>
      </w:r>
      <w:r>
        <w:rPr>
          <w:rFonts w:cs="Arial"/>
        </w:rPr>
        <w:t xml:space="preserve">enta y </w:t>
      </w:r>
      <w:r w:rsidR="007306FC">
        <w:rPr>
          <w:rFonts w:cs="Arial"/>
        </w:rPr>
        <w:t xml:space="preserve">seis mil  40 </w:t>
      </w:r>
      <w:r w:rsidRPr="000272FD">
        <w:rPr>
          <w:rFonts w:cs="Arial"/>
        </w:rPr>
        <w:t>/100 M.N.) y el plaz</w:t>
      </w:r>
      <w:r w:rsidR="007306FC">
        <w:rPr>
          <w:rFonts w:cs="Arial"/>
        </w:rPr>
        <w:t>o es de enero a diciembre de 2020</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t>10. Reporte de la Recaudación:</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Pr>
          <w:rFonts w:cs="Arial"/>
        </w:rPr>
        <w:t>6% respecto del ingreso recaudado en 2018</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w:t>
      </w:r>
      <w:r w:rsidRPr="00E74967">
        <w:rPr>
          <w:rFonts w:cs="Calibri"/>
        </w:rPr>
        <w:lastRenderedPageBreak/>
        <w:t>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bookmarkStart w:id="15" w:name="_GoBack"/>
      <w:bookmarkEnd w:id="15"/>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6C4" w:rsidRDefault="008A46C4" w:rsidP="00E00323">
      <w:pPr>
        <w:spacing w:after="0" w:line="240" w:lineRule="auto"/>
      </w:pPr>
      <w:r>
        <w:separator/>
      </w:r>
    </w:p>
  </w:endnote>
  <w:endnote w:type="continuationSeparator" w:id="0">
    <w:p w:rsidR="008A46C4" w:rsidRDefault="008A46C4"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05A" w:rsidRDefault="0012405A">
    <w:pPr>
      <w:pStyle w:val="Piedepgina"/>
      <w:jc w:val="right"/>
    </w:pPr>
    <w:r>
      <w:fldChar w:fldCharType="begin"/>
    </w:r>
    <w:r>
      <w:instrText>PAGE   \* MERGEFORMAT</w:instrText>
    </w:r>
    <w:r>
      <w:fldChar w:fldCharType="separate"/>
    </w:r>
    <w:r w:rsidR="007306FC" w:rsidRPr="007306FC">
      <w:rPr>
        <w:noProof/>
        <w:lang w:val="es-ES"/>
      </w:rPr>
      <w:t>4</w:t>
    </w:r>
    <w:r>
      <w:fldChar w:fldCharType="end"/>
    </w:r>
  </w:p>
  <w:p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6C4" w:rsidRDefault="008A46C4" w:rsidP="00E00323">
      <w:pPr>
        <w:spacing w:after="0" w:line="240" w:lineRule="auto"/>
      </w:pPr>
      <w:r>
        <w:separator/>
      </w:r>
    </w:p>
  </w:footnote>
  <w:footnote w:type="continuationSeparator" w:id="0">
    <w:p w:rsidR="008A46C4" w:rsidRDefault="008A46C4"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1767E6">
      <w:t>EINTES AL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049E8"/>
    <w:rsid w:val="0012405A"/>
    <w:rsid w:val="00154BA3"/>
    <w:rsid w:val="001767E6"/>
    <w:rsid w:val="001973A2"/>
    <w:rsid w:val="001B614E"/>
    <w:rsid w:val="001C75F2"/>
    <w:rsid w:val="001D2063"/>
    <w:rsid w:val="001D43E9"/>
    <w:rsid w:val="002733AC"/>
    <w:rsid w:val="003453CA"/>
    <w:rsid w:val="003919F0"/>
    <w:rsid w:val="00435A87"/>
    <w:rsid w:val="004A58C8"/>
    <w:rsid w:val="004F234D"/>
    <w:rsid w:val="0054701E"/>
    <w:rsid w:val="005668A9"/>
    <w:rsid w:val="005B5531"/>
    <w:rsid w:val="005D3E43"/>
    <w:rsid w:val="005E231E"/>
    <w:rsid w:val="005F2412"/>
    <w:rsid w:val="00657009"/>
    <w:rsid w:val="00681C79"/>
    <w:rsid w:val="007306FC"/>
    <w:rsid w:val="007610BC"/>
    <w:rsid w:val="007714AB"/>
    <w:rsid w:val="00790F29"/>
    <w:rsid w:val="007D1E76"/>
    <w:rsid w:val="007D4484"/>
    <w:rsid w:val="0086459F"/>
    <w:rsid w:val="008A46C4"/>
    <w:rsid w:val="008C0FE0"/>
    <w:rsid w:val="008C3BB8"/>
    <w:rsid w:val="008E076C"/>
    <w:rsid w:val="0092765C"/>
    <w:rsid w:val="00A4610E"/>
    <w:rsid w:val="00A730E0"/>
    <w:rsid w:val="00AA41E5"/>
    <w:rsid w:val="00AB722B"/>
    <w:rsid w:val="00AE1F6A"/>
    <w:rsid w:val="00C97E1E"/>
    <w:rsid w:val="00CB41C4"/>
    <w:rsid w:val="00CD6562"/>
    <w:rsid w:val="00CF1316"/>
    <w:rsid w:val="00D13C44"/>
    <w:rsid w:val="00D7409E"/>
    <w:rsid w:val="00D975B1"/>
    <w:rsid w:val="00E00323"/>
    <w:rsid w:val="00E74967"/>
    <w:rsid w:val="00E7559F"/>
    <w:rsid w:val="00EA37F5"/>
    <w:rsid w:val="00EA7915"/>
    <w:rsid w:val="00ED1E67"/>
    <w:rsid w:val="00F46719"/>
    <w:rsid w:val="00F54F6F"/>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0C5D"/>
  <w15:chartTrackingRefBased/>
  <w15:docId w15:val="{8D9E893C-2F58-440A-8278-B422659D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
    <w:name w:val="Título de TDC"/>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E5D97409-F414-4D58-8AEA-D962F141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3164</Words>
  <Characters>17404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20527</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Luffi</cp:lastModifiedBy>
  <cp:revision>2</cp:revision>
  <dcterms:created xsi:type="dcterms:W3CDTF">2020-04-21T04:39:00Z</dcterms:created>
  <dcterms:modified xsi:type="dcterms:W3CDTF">2020-04-21T04:39:00Z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