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Arial" w:hAnsi="Arial"/>
          <w:sz w:val="20"/>
        </w:rPr>
        <w:t>Name of PEI: Tertiary Infotech Academy Pte. Ltd.</w:t>
      </w:r>
    </w:p>
    <w:p w14:paraId="5740B06C" w14:textId="0F78A725" w:rsidR="00FC3306" w:rsidRDefault="00171FE7">
      <w:pPr>
        <w:rPr>
          <w:lang w:val="en-US"/>
        </w:rPr>
      </w:pPr>
      <w:r>
        <w:rPr>
          <w:rFonts w:ascii="Arial" w:hAnsi="Arial"/>
          <w:sz w:val="20"/>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rFonts w:ascii="Arial" w:hAnsi="Arial"/>
                <w:b/>
                <w:bCs/>
                <w:sz w:val="18"/>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rFonts w:ascii="Arial" w:hAnsi="Arial"/>
                <w:b/>
                <w:bCs/>
                <w:sz w:val="18"/>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rFonts w:ascii="Arial" w:hAnsi="Arial"/>
                <w:b/>
                <w:bCs/>
                <w:sz w:val="18"/>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rFonts w:ascii="Arial" w:hAnsi="Arial"/>
                <w:b/>
                <w:bCs/>
                <w:sz w:val="18"/>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rFonts w:ascii="Arial" w:hAnsi="Arial"/>
                <w:b/>
                <w:bCs/>
                <w:sz w:val="18"/>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rFonts w:ascii="Arial" w:hAnsi="Arial"/>
                <w:sz w:val="18"/>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rFonts w:ascii="Arial" w:hAnsi="Arial"/>
                <w:sz w:val="18"/>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rFonts w:ascii="Arial" w:hAnsi="Arial"/>
                <w:sz w:val="18"/>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pPr>
              <w:jc w:val="left"/>
            </w:pPr>
            <w:r>
              <w:rPr>
                <w:rFonts w:ascii="Arial" w:hAnsi="Arial"/>
                <w:sz w:val="18"/>
              </w:rPr>
              <w:t>The Advanced Certificate in Digital Asset Compliance and Blockchain Risk Operations is delivered as a 100% synchronous e-learning course through the PEI's designated learning/video-conferencing platform and online compliance, analytics and case-work environments. Access is restricted to enrolled students, deployed teachers and authorised administrative staff through individual user accounts and passwords. The PEI maintains control of user access rights, disables access when students withdraw or complete the course where applicable, and keeps platform access records for verification. Course materials, assessment files, compliance case materials, blockchain investigation exercises, documentation templates and lab instructions are stored in controlled online folders or platform repositories with role-based permissions. The PEI checks platform availability before each class, keeps backup copies of teaching materials, and uses an alternative meeting link or communication channel if the primary platform is unavailable.</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rFonts w:ascii="Arial" w:hAnsi="Arial"/>
                <w:sz w:val="18"/>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rFonts w:ascii="Arial" w:hAnsi="Arial"/>
                <w:sz w:val="18"/>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rFonts w:ascii="Arial" w:hAnsi="Arial"/>
                <w:sz w:val="18"/>
                <w:lang w:eastAsia="zh-CN"/>
              </w:rPr>
              <w:t>Please describe how does PEI takes students’ attendance</w:t>
            </w:r>
          </w:p>
        </w:tc>
        <w:tc>
          <w:tcPr>
            <w:tcW w:w="1770" w:type="pct"/>
            <w:tcBorders>
              <w:top w:val="nil"/>
              <w:left w:val="nil"/>
              <w:bottom w:val="single" w:sz="8" w:space="0" w:color="auto"/>
              <w:right w:val="single" w:sz="8" w:space="0" w:color="auto"/>
            </w:tcBorders>
          </w:tcPr>
          <w:p>
            <w:pPr>
              <w:jc w:val="left"/>
            </w:pPr>
            <w:r>
              <w:rPr>
                <w:rFonts w:ascii="Arial" w:hAnsi="Arial"/>
                <w:sz w:val="18"/>
              </w:rPr>
              <w:t>Attendance is taken for every live online session. The course is conducted 3 days per week, with each session lasting 3 hours from 7:00 PM to 10:00 PM. The teacher or administrator verifies attendance using the live class participant list, login records and roll-call/interaction checks during the session. Late arrival, early departure and absence are recorded in the attendance record after each session. Students must maintain at least 75% attendance throughout the course to be awarded the certificate.</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rFonts w:ascii="Arial" w:hAnsi="Arial"/>
                <w:sz w:val="18"/>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rFonts w:ascii="Arial" w:hAnsi="Arial"/>
                <w:sz w:val="18"/>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rFonts w:ascii="Arial" w:hAnsi="Arial"/>
                <w:sz w:val="18"/>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pPr>
              <w:jc w:val="left"/>
            </w:pPr>
            <w:r>
              <w:rPr>
                <w:rFonts w:ascii="Arial" w:hAnsi="Arial"/>
                <w:sz w:val="18"/>
              </w:rPr>
              <w:t>Student participation and progress are tracked throughout the 50-session course structure: 45 teaching/practical sessions and 5 assessment sessions. Teachers monitor learner participation during live lectures, demonstrations, Q&amp;A, chat/verbal responses, practical compliance case exercises, wallet review activities, transaction monitoring scenarios, sanctions-screening activities and documentation tasks. Progress is reviewed through completion of practical case assignments, scenario-based quizzes, compliance documentation exercises and the assessment session conducted after each of the 5 consolidated modules. Students who are inactive, absent or falling behind are followed up by the teacher or administrator for academic or technical support.</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rFonts w:ascii="Arial" w:hAnsi="Arial"/>
                <w:sz w:val="18"/>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rFonts w:ascii="Arial" w:hAnsi="Arial"/>
                <w:sz w:val="18"/>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rFonts w:ascii="Arial" w:hAnsi="Arial"/>
                <w:sz w:val="18"/>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pPr>
              <w:jc w:val="left"/>
            </w:pPr>
            <w:r>
              <w:rPr>
                <w:rFonts w:ascii="Arial" w:hAnsi="Arial"/>
                <w:sz w:val="18"/>
              </w:rPr>
              <w:t>The PEI communicates course content availability to students through written course information, email and/or the learning platform before or at course commencement. Students are informed that the course runs for about 4 months part-time, comprising 50 sessions of 3 hours each. Access to online course materials, blockchain/compliance case exercises, wallet investigation materials, sanctions and monitoring workflow examples, documentation templates and assessment-related information is made available for the duration of the course and any additional revision/access period communicated by the PEI in writing. Any change to content availability dates is communicated to students through email and/or the learning platform.</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rFonts w:ascii="Arial" w:hAnsi="Arial"/>
                <w:sz w:val="18"/>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rFonts w:ascii="Arial" w:hAnsi="Arial"/>
                <w:sz w:val="18"/>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rFonts w:ascii="Arial" w:hAnsi="Arial"/>
                <w:sz w:val="18"/>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pPr>
              <w:jc w:val="left"/>
            </w:pPr>
            <w:r>
              <w:rPr>
                <w:rFonts w:ascii="Arial" w:hAnsi="Arial"/>
                <w:sz w:val="18"/>
              </w:rPr>
              <w:t>Students may seek assistance during live online classes through voice, chat and Q&amp;A with the teacher. Outside class, students may contact the PEI through email, learning-platform messaging and/or scheduled online consultation. Technical support is provided for access issues relating to the video-conferencing platform, online course materials, compliance case exercises, blockchain activity review exercises, analytics or RegTech-related learning activities and documentation templates. Academic clarifications are handled by the deployed teacher, while administrative matters such as attendance, schedule and assessment arrangements are handled by PEI administrative staff.</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rFonts w:ascii="Arial" w:hAnsi="Arial"/>
                <w:b/>
                <w:bCs/>
                <w:sz w:val="18"/>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rFonts w:ascii="Arial" w:hAnsi="Arial"/>
                <w:sz w:val="18"/>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rFonts w:ascii="Arial" w:hAnsi="Arial"/>
                <w:sz w:val="18"/>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rFonts w:ascii="Arial" w:hAnsi="Arial"/>
                <w:sz w:val="18"/>
                <w:lang w:eastAsia="zh-CN"/>
              </w:rPr>
              <w:t>Please describe</w:t>
            </w:r>
            <w:r w:rsidR="00171FE7" w:rsidRPr="3E7F4C34">
              <w:rPr>
                <w:rFonts w:ascii="Arial" w:hAnsi="Arial"/>
                <w:sz w:val="18"/>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pPr>
              <w:jc w:val="left"/>
            </w:pPr>
            <w:r>
              <w:rPr>
                <w:rFonts w:ascii="Arial" w:hAnsi="Arial"/>
                <w:sz w:val="18"/>
              </w:rPr>
              <w:t>Before appointment and deployment, the PEI and Academic Board review the teacher's curriculum vitae, relevant academic/professional qualifications, digital asset compliance/AML/blockchain risk domain experience, teaching experience and ability to conduct synchronous online classes and practical compliance operations exercises. The teacher must be competent to deliver live online lectures, demonstrations and applied activities covering digital asset compliance, blockchain infrastructure, customer due diligence, on-chain monitoring, wallet investigation, virtual asset regulation, DeFi risk, financial crime typologies, sanctions controls, RegTech and AI-assisted monitoring, security/data protection, regulatory reporting and applied compliance projects. The PEI keeps teacher records including CV, qualification documents, appointment/permission records and Academic Board approval records in accordance with the Private Education Regulations. The course write-up declares that the Academic Board has approved the deployment of teachers for the course.</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rFonts w:ascii="Arial" w:hAnsi="Arial"/>
                <w:sz w:val="18"/>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rFonts w:ascii="Arial" w:hAnsi="Arial"/>
                <w:sz w:val="18"/>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rFonts w:ascii="Arial" w:hAnsi="Arial"/>
                <w:sz w:val="18"/>
                <w:lang w:eastAsia="zh-CN"/>
              </w:rPr>
              <w:t xml:space="preserve">Please describe how does the PEI ensure that SSG is notified on time </w:t>
            </w:r>
            <w:r w:rsidR="0770EBEA" w:rsidRPr="3E7F4C34">
              <w:rPr>
                <w:rFonts w:ascii="Arial" w:hAnsi="Arial"/>
                <w:sz w:val="18"/>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pPr>
              <w:jc w:val="left"/>
            </w:pPr>
            <w:r>
              <w:rPr>
                <w:rFonts w:ascii="Arial" w:hAnsi="Arial"/>
                <w:sz w:val="18"/>
              </w:rPr>
              <w:t>The PEI maintains a teacher deployment schedule for all online video-conferencing sessions and ensures that SSG is notified through the required channel at least 7 days before the intended deployment or any change in teacher deployment. The PEI checks that Academic Board approval, teacher records and permission-to-teach documents are in place before deployment. If a replacement or backup teacher is required, the PEI will complete the required internal approval and SSG notification before the teacher conducts any online session.</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rFonts w:ascii="Arial" w:hAnsi="Arial"/>
                <w:b/>
                <w:bCs/>
                <w:sz w:val="18"/>
                <w:lang w:eastAsia="zh-CN"/>
              </w:rPr>
              <w:t xml:space="preserve">Course </w:t>
            </w:r>
          </w:p>
        </w:tc>
        <w:tc>
          <w:tcPr>
            <w:tcW w:w="1770" w:type="pct"/>
            <w:tcBorders>
              <w:top w:val="nil"/>
              <w:left w:val="nil"/>
              <w:bottom w:val="single" w:sz="8" w:space="0" w:color="auto"/>
              <w:right w:val="single" w:sz="8" w:space="0" w:color="auto"/>
            </w:tcBorders>
          </w:tcPr>
          <w:p w14:paraId="4A3012F9" w14:textId="77777777" w:rsidR="00171FE7" w:rsidRDefault="00171FE7" w:rsidP="0018597E">
            <w:pPr>
              <w:jc w:val="both"/>
              <w:rPr>
                <w:b/>
                <w:bCs/>
                <w:lang w:eastAsia="zh-CN"/>
              </w:rPr>
            </w:pP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rFonts w:ascii="Arial" w:hAnsi="Arial"/>
                <w:sz w:val="18"/>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rFonts w:ascii="Arial" w:hAnsi="Arial"/>
                <w:sz w:val="18"/>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rFonts w:ascii="Arial" w:hAnsi="Arial"/>
                <w:sz w:val="18"/>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ascii="Arial" w:hAnsi="Arial"/>
                <w:sz w:val="18"/>
                <w:lang w:eastAsia="zh-CN"/>
              </w:rPr>
              <w:t>Duration of face-to-face sessions (if any)</w:t>
            </w:r>
          </w:p>
        </w:tc>
        <w:tc>
          <w:tcPr>
            <w:tcW w:w="1770" w:type="pct"/>
            <w:tcBorders>
              <w:top w:val="nil"/>
              <w:left w:val="nil"/>
              <w:bottom w:val="single" w:sz="8" w:space="0" w:color="auto"/>
              <w:right w:val="single" w:sz="8" w:space="0" w:color="auto"/>
            </w:tcBorders>
          </w:tcPr>
          <w:p>
            <w:pPr>
              <w:jc w:val="left"/>
            </w:pPr>
            <w:r>
              <w:rPr>
                <w:rFonts w:ascii="Arial" w:hAnsi="Arial"/>
                <w:sz w:val="18"/>
              </w:rPr>
              <w:t>The course write-up states that the mode of delivery is 100% e-learning through synchronous live virtual classes, with no face-to-face sessions. The expected course duration is about 4 months part-time. Classes are held 3 days per week, 3 hours per session, from 7:00 PM to 10:00 PM. Total course duration is 150 hours, computed as 5 consolidated modules x 10 sessions x 3 hours. Each consolidated module comprises 9 teaching/practical sessions and 1 assessment session, for a total of 45 teaching/practical sessions and 5 assessment sessions. Assessments include practical case assignments, scenario-based quizzes, compliance documentation exercises and a capstone digital asset compliance project. As the course is 100% e-learning, the course title should be reflected as "Advanced Certificate in Digital Asset Compliance and Blockchain Risk Operations (E-Learning)" where required.</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rFonts w:ascii="Arial" w:hAnsi="Arial"/>
                <w:sz w:val="18"/>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rFonts w:ascii="Arial" w:hAnsi="Arial"/>
                <w:sz w:val="18"/>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rFonts w:ascii="Arial" w:hAnsi="Arial"/>
                <w:sz w:val="18"/>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pPr>
              <w:jc w:val="left"/>
            </w:pPr>
            <w:r>
              <w:rPr>
                <w:rFonts w:ascii="Arial" w:hAnsi="Arial"/>
                <w:sz w:val="18"/>
              </w:rPr>
              <w:t>The course is self-developed by Tertiary Infotech Academy and is designed to equip learners with practical skills to support compliance operations, AML controls, blockchain risk monitoring and investigations across cryptocurrency, fintech and Web3 environments. Resources allocated for e-learning include live online instruction, teacher-led demonstrations, digital learning materials, online compliance case exercises, blockchain activity review activities, documentation templates, analytics/RegTech examples and assessment tasks. The curriculum is organised into 5 consolidated modules covering digital asset compliance, blockchain and token infrastructure, customer due diligence and AML controls, on-chain monitoring, wallet review and investigations, virtual asset regulation, DeFi and tokenised asset risk, financial crime typologies, sanctions workflow management, RegTech and AI-assisted monitoring, security/data protection, regulatory records/reporting and applied digital asset compliance projects. The pedagogy combines synchronous teaching, applied demonstrations, hands-on case work, Q&amp;A, investigation/documentation exercises, module assessments and a capstone project to evaluate both knowledge and application.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rFonts w:ascii="Arial" w:hAnsi="Arial"/>
                <w:b/>
                <w:bCs/>
                <w:sz w:val="18"/>
                <w:lang w:eastAsia="zh-CN"/>
              </w:rPr>
              <w:t>Conduct of Assessment</w:t>
            </w:r>
          </w:p>
        </w:tc>
        <w:tc>
          <w:tcPr>
            <w:tcW w:w="1770" w:type="pct"/>
            <w:tcBorders>
              <w:top w:val="nil"/>
              <w:left w:val="nil"/>
              <w:bottom w:val="single" w:sz="8" w:space="0" w:color="auto"/>
              <w:right w:val="single" w:sz="8" w:space="0" w:color="auto"/>
            </w:tcBorders>
          </w:tcPr>
          <w:p w14:paraId="2BC16C35" w14:textId="77777777" w:rsidR="00171FE7" w:rsidRDefault="00171FE7" w:rsidP="0018597E">
            <w:pPr>
              <w:jc w:val="both"/>
              <w:rPr>
                <w:b/>
                <w:bCs/>
                <w:lang w:eastAsia="zh-CN"/>
              </w:rPr>
            </w:pP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rFonts w:ascii="Arial" w:hAnsi="Arial"/>
                <w:sz w:val="18"/>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rFonts w:ascii="Arial" w:hAnsi="Arial"/>
                <w:sz w:val="18"/>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rFonts w:ascii="Arial" w:hAnsi="Arial"/>
                <w:sz w:val="18"/>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pPr>
              <w:jc w:val="left"/>
            </w:pPr>
            <w:r>
              <w:rPr>
                <w:rFonts w:ascii="Arial" w:hAnsi="Arial"/>
                <w:sz w:val="18"/>
              </w:rPr>
              <w:t>Student identity is verified before and during online assessments using enrolment records, the official class list and individual platform login credentials. Students are required to join the assessment session using their own account and a display name matching the class list. The invigilator/teacher may conduct a visual identity check through video and may request the student to show an approved identification document or student record for verification. Attendance/login records and assessment submission records are retained for audit trail purposes. To support fraud prevention, students are instructed not to share login credentials or allow another person to attend or complete the assessment on their behalf. Any identity inconsistency, suspicious login or suspected impersonation is escalated and investigated before the assessment result is confirmed.</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rFonts w:ascii="Arial" w:hAnsi="Arial"/>
                <w:sz w:val="18"/>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rFonts w:ascii="Arial" w:hAnsi="Arial"/>
                <w:sz w:val="18"/>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rFonts w:ascii="Arial" w:hAnsi="Arial"/>
                <w:sz w:val="18"/>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pPr>
              <w:jc w:val="left"/>
            </w:pPr>
            <w:r>
              <w:rPr>
                <w:rFonts w:ascii="Arial" w:hAnsi="Arial"/>
                <w:sz w:val="18"/>
              </w:rPr>
              <w:t>The course has 5 online module assessments, one after each consolidated module, and includes practical case assignments, scenario-based quizzes, compliance documentation exercises and a capstone digital asset compliance project. Assessment methods and procedures are approved by the Examination Board. Assessments are conducted online through the PEI's designated assessment/learning platform and/or live video-conferencing invigilation. The assessment structure evaluates students' understanding and application of learning through appropriate question types, scenario-based tasks and practical digital asset compliance tasks covering AML controls, customer due diligence, on-chain monitoring, wallet investigations, sanctions screening, DeFi risk, financial crime typologies, RegTech/analytics, secure evidence handling, regulatory records and compliance reporting. Controls to deter cheating and promote academic integrity include timed assessment access, individual login, identity checks, assessment instructions, student declaration, live invigilation or online proctoring where required, monitoring of chat/screen/activity where applicable, review of submission records and retention of audit logs. Fraud-prevention measures include checks for impersonation, unauthorised assistance, credential sharing, duplicate or suspicious submissions, unusual login/activity patterns and misuse of tools during assessment. Suspected cheating, impersonation or assessment fraud is escalated for investigation under the PEI's assessment misconduct process.</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