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Enterprise Blockchain Solution Architecture</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Enterprise Blockchain Solution Architecture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Enterprise Blockchain Solution Architecture</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Distributed Ledger and Blockchain Core Concepts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Blockchain Architecture and Enterprise Solution Design</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Blockchain Development Infrastructure and Node Operations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4</w:t>
            </w:r>
            <w:r>
              <w:rPr>
                <w:rFonts w:ascii="Arial" w:hAnsi="Arial" w:eastAsia="Arial"/>
                <w:b w:val="0"/>
                <w:sz w:val="20"/>
              </w:rPr>
            </w:r>
          </w:p>
        </w:tc>
        <w:tc>
          <w:tcPr>
            <w:tcW w:type="dxa" w:w="3264"/>
            <w:vAlign w:val="center"/>
          </w:tcPr>
          <w:p>
            <w:r>
              <w:t>Module 4: Governance, Security, Risk and Decentralised Data Controls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5</w:t>
            </w:r>
            <w:r>
              <w:rPr>
                <w:rFonts w:ascii="Arial" w:hAnsi="Arial" w:eastAsia="Arial"/>
                <w:b w:val="0"/>
                <w:sz w:val="20"/>
              </w:rPr>
            </w:r>
          </w:p>
        </w:tc>
        <w:tc>
          <w:tcPr>
            <w:tcW w:type="dxa" w:w="3264"/>
            <w:vAlign w:val="center"/>
          </w:tcPr>
          <w:p>
            <w:r>
              <w:t>Module 5: Enterprise Blockchain Platform Architectures</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Enterprise Blockchain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Enterprise Blockchain Solution Architecture</dc:title>
  <dc:subject>Advanced Certificate in Enterprise Blockchain Solution Architecture</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