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D86014" w14:paraId="2D06D52B" w14:textId="77777777" w:rsidTr="00236098">
        <w:trPr>
          <w:trHeight w:val="245"/>
          <w:jc w:val="center"/>
        </w:trPr>
        <w:tc>
          <w:tcPr>
            <w:tcW w:w="1440" w:type="dxa"/>
            <w:tcBorders>
              <w:top w:val="nil"/>
              <w:left w:val="nil"/>
              <w:bottom w:val="single" w:sz="4" w:space="0" w:color="auto"/>
              <w:right w:val="single" w:sz="4" w:space="0" w:color="auto"/>
            </w:tcBorders>
            <w:vAlign w:val="bottom"/>
          </w:tcPr>
          <w:p w14:paraId="07183158" w14:textId="77777777" w:rsidR="00D86014" w:rsidRPr="00CF09D5" w:rsidRDefault="00D86014" w:rsidP="00CF09D5">
            <w:pPr>
              <w:suppressAutoHyphens w:val="0"/>
              <w:contextualSpacing/>
              <w:jc w:val="center"/>
              <w:rPr>
                <w:rFonts w:ascii="Arial" w:hAnsi="Arial" w:cs="Arial"/>
                <w:b/>
                <w:bCs/>
                <w:sz w:val="18"/>
                <w:szCs w:val="18"/>
              </w:rPr>
            </w:pPr>
          </w:p>
        </w:tc>
        <w:tc>
          <w:tcPr>
            <w:tcW w:w="3448" w:type="dxa"/>
            <w:gridSpan w:val="2"/>
            <w:tcBorders>
              <w:left w:val="single" w:sz="4" w:space="0" w:color="auto"/>
            </w:tcBorders>
            <w:vAlign w:val="bottom"/>
          </w:tcPr>
          <w:p w14:paraId="475A62FC" w14:textId="6D8DC287"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sz w:val="18"/>
                <w:szCs w:val="18"/>
              </w:rPr>
              <w:t>Contents are FULLY mapped to Skills Framework (</w:t>
            </w:r>
            <w:proofErr w:type="spellStart"/>
            <w:r w:rsidRPr="00236098">
              <w:rPr>
                <w:rFonts w:ascii="Arial" w:hAnsi="Arial" w:cs="Arial"/>
                <w:b/>
                <w:sz w:val="18"/>
                <w:szCs w:val="18"/>
              </w:rPr>
              <w:t>SFw</w:t>
            </w:r>
            <w:proofErr w:type="spellEnd"/>
            <w:r w:rsidRPr="00236098">
              <w:rPr>
                <w:rFonts w:ascii="Arial" w:hAnsi="Arial" w:cs="Arial"/>
                <w:b/>
                <w:sz w:val="18"/>
                <w:szCs w:val="18"/>
              </w:rPr>
              <w:t>)</w:t>
            </w:r>
          </w:p>
        </w:tc>
        <w:tc>
          <w:tcPr>
            <w:tcW w:w="3472" w:type="dxa"/>
            <w:gridSpan w:val="2"/>
            <w:tcBorders>
              <w:right w:val="single" w:sz="4" w:space="0" w:color="auto"/>
            </w:tcBorders>
            <w:vAlign w:val="bottom"/>
          </w:tcPr>
          <w:p w14:paraId="5D5FEB2C" w14:textId="548D3663"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bCs/>
                <w:sz w:val="18"/>
                <w:szCs w:val="18"/>
              </w:rPr>
              <w:t xml:space="preserve">Contents are PARTIALLY mapped to </w:t>
            </w:r>
            <w:proofErr w:type="spellStart"/>
            <w:r w:rsidRPr="00236098">
              <w:rPr>
                <w:rFonts w:ascii="Arial" w:hAnsi="Arial" w:cs="Arial"/>
                <w:b/>
                <w:bCs/>
                <w:sz w:val="18"/>
                <w:szCs w:val="18"/>
              </w:rPr>
              <w:t>SFw</w:t>
            </w:r>
            <w:proofErr w:type="spellEnd"/>
            <w:r w:rsidRPr="00236098">
              <w:rPr>
                <w:rFonts w:ascii="Arial" w:hAnsi="Arial" w:cs="Arial"/>
                <w:b/>
                <w:bCs/>
                <w:sz w:val="18"/>
                <w:szCs w:val="18"/>
              </w:rPr>
              <w:t xml:space="preserve"> due to transition arrangement or review of </w:t>
            </w:r>
            <w:proofErr w:type="spellStart"/>
            <w:r w:rsidRPr="00236098">
              <w:rPr>
                <w:rFonts w:ascii="Arial" w:hAnsi="Arial" w:cs="Arial"/>
                <w:b/>
                <w:bCs/>
                <w:sz w:val="18"/>
                <w:szCs w:val="18"/>
              </w:rPr>
              <w:t>SFw</w:t>
            </w:r>
            <w:proofErr w:type="spellEnd"/>
          </w:p>
        </w:tc>
        <w:tc>
          <w:tcPr>
            <w:tcW w:w="1820" w:type="dxa"/>
            <w:tcBorders>
              <w:top w:val="nil"/>
              <w:left w:val="nil"/>
              <w:bottom w:val="nil"/>
              <w:right w:val="nil"/>
            </w:tcBorders>
            <w:vAlign w:val="bottom"/>
          </w:tcPr>
          <w:p w14:paraId="4A43FB27" w14:textId="77777777" w:rsidR="00D86014" w:rsidRPr="00CF09D5" w:rsidRDefault="00D86014" w:rsidP="00CF09D5">
            <w:pPr>
              <w:suppressAutoHyphens w:val="0"/>
              <w:contextualSpacing/>
              <w:jc w:val="center"/>
              <w:rPr>
                <w:rFonts w:ascii="Arial" w:hAnsi="Arial" w:cs="Arial"/>
                <w:b/>
                <w:bCs/>
                <w:sz w:val="18"/>
                <w:szCs w:val="18"/>
              </w:rPr>
            </w:pPr>
          </w:p>
        </w:tc>
      </w:tr>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Tertiary Infotech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Certified Kubernetes Application Developer (CKAD) Training</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Solution Architecture</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ICT-DES-5006-1.1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15</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N.A.</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32</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The Infocomm Technology sector is experiencing significant challenges in effectively implementing and managing Kubernetes solutions. One of the primary performance gaps is the lack of skilled professionals who can establish high-level structures and frameworks for Kubernetes applications. Many organizations struggle with aligning technical, functional, and service requirements within their Kubernetes-based architectures, leading to inefficient deployments and increased operational costs. Additionally, there is often a disconnect between the various components of Kubernetes solutions, resulting in compatibility issues that hinder the overall performance and scalability of applications. The rapid evolution of cloud-native technologies and the increasing complexity of application environments further exacerbate these challenges, as teams may not be adequately trained to handle the nuances of Kubernetes, such as multi-container Pod design patterns and the use of Helm for package management. Furthermore, organizations frequently face difficulties in articulating the value of their Kubernetes solutions, particularly in terms of coding standards, scalability, and reusability, which can lead to underutilization of resources and missed opportunities for optimization.</w:t>
              <w:br/>
              <w:t xml:space="preserve"/>
              <w:br/>
              <w:t xml:space="preserve">To address the identified performance gaps, there is a pressing need for targeted training programs that equip professionals with the necessary skills and knowledge to effectively design, deploy, and maintain Kubernetes applications. Training should focus on establishing high-level frameworks and structures that guide the development of IT solutions, incorporating various processes, hardware, and software components. Participants need to be trained in the application of tools and modeling techniques that are essential for creating robust solution architectures. Additionally, training must emphasize the importance of aligning the requirements of various stakeholders and ensuring compatibility among multiple solution architecture components. Practical training sessions that include hands-on experience with Kubernetes primitives, deployment strategies, and application observability techniques will be crucial in building confidence and competence among participants. Furthermore, establishing processes for regular monitoring, testing, and reviewing of solution architectures against business requirements will empower professionals to validate their Kubernetes implementations effectively. Overall, a comprehensive training approach that combines theoretical knowledge with practical application is essential to bridge the skills gap in the industry.</w:t>
              <w:br/>
              <w:t xml:space="preserve"/>
              <w:br/>
              <w:t xml:space="preserve">Several job roles within the Infocomm Technology sector would significantly benefit from this training. Kubernetes application developers, who are responsible for designing and building applications that run on Kubernetes, would gain valuable insights into best practices for application design and deployment. Solution architects would also benefit, as they need to align technical and functional requirements within Kubernetes-based architectures and ensure compatibility among various components. DevOps engineers, who play a critical role in the continuous integration and deployment of applications, would find the training particularly beneficial in understanding how to implement effective deployment strategies and maintain application observability. Additionally, system administrators and IT operations personnel would enhance their skills in managing Kubernetes environments, focusing on security, configuration, and resource management. Finally, project managers overseeing cloud-native application development projects would gain a deeper understanding of the technical aspects of Kubernetes, enabling them to better coordinate teams and resources to achieve project goals.</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 with establishing high-level structures and frameworks for Kubernetes solutions, leading to inefficient deployments.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often find it challenging to align technical, functional, and service requirements within Kubernetes-based solution architectures, resulting in operational inefficiencies.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have difficulty coordinating multiple Kubernetes solution components, which can lead to compatibility issues and hinder overall performance.</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are unclear on how to articulate the value of Kubernetes solutions, particularly regarding coding standards, scalability, and reusability.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lack the knowledge to establish effective monitoring and testing processes to validate Kubernetes architectures against business requirements.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the step-by-step sequencing is employed to scaffold the learners' comprehension and application of Kubernetes solutions. This methodology is crucial as it systematically breaks down the intricate facets of Kubernetes application design, deployment, observability, security, and networking into digestible units. This aids in gradually building the learners' knowledge and skills from fundamental to more complex concepts, ensuring a solid foundation before advancing to the next topic. The progression is designed to foster a deeper understanding and the ability to effectively apply the learned concepts in real-world scenarios.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Container Image Management</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Establish high-level structures and frameworks for Kubernetes solutions using appropriate processes and tools.</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Deployment Strategies</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Align technical, functional, and service requirements within Kubernetes-based solution architectures.</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LU3: Application Monitoring and Debugging</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LO3: Coordinate multiple Kubernetes solution components to ensure compatibility and meet design framework goals.</w:t>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LU4: Security and Configuration Management</w:t>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LO4: Articulate the value of Kubernetes solutions by addressing coding standards, scalability, and reusability.</w:t>
                  </w:r>
                </w:p>
              </w:tc>
            </w:tr>
            <w:tr w:rsidR="005E4733" w:rsidRPr="00E53C02" w14:paraId="45940B34" w14:textId="77777777" w:rsidTr="00E476CE">
              <w:trPr>
                <w:trHeight w:val="643"/>
              </w:trPr>
              <w:tc>
                <w:tcPr>
                  <w:tcW w:w="4139" w:type="dxa"/>
                </w:tcPr>
                <w:p w14:paraId="4CB7EB5D" w14:textId="3DBE810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LU5: Networking and Access Management</w:t>
                  </w:r>
                </w:p>
              </w:tc>
              <w:tc>
                <w:tcPr>
                  <w:tcW w:w="5700" w:type="dxa"/>
                </w:tcPr>
                <w:p w14:paraId="46CD1B10" w14:textId="07B3A77F"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LO5: Establish monitoring and testing processes to validate Kubernetes architectures against business requirements.</w:t>
                  </w:r>
                </w:p>
              </w:tc>
            </w:tr>
            <w:tr w:rsidR="005E4733" w:rsidRPr="00E53C02" w14:paraId="2D729389" w14:textId="77777777" w:rsidTr="00E476CE">
              <w:trPr>
                <w:trHeight w:val="643"/>
              </w:trPr>
              <w:tc>
                <w:tcPr>
                  <w:tcW w:w="4139" w:type="dxa"/>
                </w:tcPr>
                <w:p w14:paraId="5B7EB44A" w14:textId="5218A2A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26D75207" w14:textId="7483F2A9"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r w:rsidR="005E4733" w:rsidRPr="00E53C02" w14:paraId="56389F73" w14:textId="77777777" w:rsidTr="00E476CE">
              <w:trPr>
                <w:trHeight w:val="643"/>
              </w:trPr>
              <w:tc>
                <w:tcPr>
                  <w:tcW w:w="4139" w:type="dxa"/>
                </w:tcPr>
                <w:p w14:paraId="1F92C311" w14:textId="19AC638F"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5C5223EA" w14:textId="17D67419"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6C0AE659" w14:textId="77777777" w:rsidTr="00E476CE">
              <w:trPr>
                <w:trHeight w:val="643"/>
              </w:trPr>
              <w:tc>
                <w:tcPr>
                  <w:tcW w:w="4139" w:type="dxa"/>
                </w:tcPr>
                <w:p w14:paraId="5549D7A4" w14:textId="510528D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0CE298C1" w14:textId="4051BE5E"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Container Image Management</w:t>
            </w:r>
          </w:p>
          <w:p w14:paraId="05597094" w14:textId="0E77B0A2" w:rsidR="00C12807" w:rsidRDefault="00C12807" w:rsidP="00AA2A50">
            <w:pPr>
              <w:rPr>
                <w:rFonts w:ascii="Arial" w:hAnsi="Arial" w:cs="Arial"/>
              </w:rPr>
            </w:pPr>
            <w:r w:rsidRPr="0044744A">
              <w:rPr>
                <w:rFonts w:ascii="Arial" w:hAnsi="Arial" w:cs="Arial"/>
              </w:rPr>
              <w:t xml:space="preserve">LU1 lays the foundational knowledge by introducing learners to the processes of defining, building, and modifying container images. This unit emphasizes the importance of choosing the right workload resources and understanding multi-container Pod design patterns. By establishing high-level structures and frameworks, learners gain the ability to guide the development of Kubernetes applications effectively. This foundational knowledge addresses the performance gap of struggling to establish frameworks.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Deployment Strategies</w:t>
            </w:r>
          </w:p>
          <w:p w14:paraId="05597094" w14:textId="0E77B0A2" w:rsidR="00C12807" w:rsidRDefault="00C12807" w:rsidP="00AA2A50">
            <w:pPr>
              <w:rPr>
                <w:rFonts w:ascii="Arial" w:hAnsi="Arial" w:cs="Arial"/>
              </w:rPr>
            </w:pPr>
            <w:r w:rsidRPr="0044744A">
              <w:rPr>
                <w:rFonts w:ascii="Arial" w:hAnsi="Arial" w:cs="Arial"/>
              </w:rPr>
              <w:t xml:space="preserve">Building on the foundational knowledge, LU2 dives into practical deployment strategies using Kubernetes primitives. Learners will explore how to align technical, functional, and service requirements within their deployment architectures. This unit enhances learners' proficiency in implementing effective deployment strategies, addressing the performance gap of operational inefficiencies in aligning requirements.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LU3: Application Monitoring and Debugging</w:t>
            </w:r>
          </w:p>
          <w:p w14:paraId="05597094" w14:textId="0E77B0A2" w:rsidR="00C12807" w:rsidRDefault="00C12807" w:rsidP="00AA2A50">
            <w:pPr>
              <w:rPr>
                <w:rFonts w:ascii="Arial" w:hAnsi="Arial" w:cs="Arial"/>
              </w:rPr>
            </w:pPr>
            <w:r w:rsidRPr="0044744A">
              <w:rPr>
                <w:rFonts w:ascii="Arial" w:hAnsi="Arial" w:cs="Arial"/>
              </w:rPr>
              <w:t xml:space="preserve">LU3 escalates to a higher level of complexity where learners delve into the coordination of multiple Kubernetes solution components. This unit focuses on ensuring compatibility and performance through observability techniques and maintenance practices. By understanding API deprecations and implementing health checks, learners develop the skills needed to address compatibility issues, thus bridging the performance gap in coordinating components.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LU4: Security and Configuration Management</w:t>
            </w:r>
          </w:p>
          <w:p w14:paraId="05597094" w14:textId="0E77B0A2" w:rsidR="00C12807" w:rsidRDefault="00C12807" w:rsidP="00AA2A50">
            <w:pPr>
              <w:rPr>
                <w:rFonts w:ascii="Arial" w:hAnsi="Arial" w:cs="Arial"/>
              </w:rPr>
            </w:pPr>
            <w:r w:rsidRPr="0044744A">
              <w:rPr>
                <w:rFonts w:ascii="Arial" w:hAnsi="Arial" w:cs="Arial"/>
              </w:rPr>
              <w:t xml:space="preserve">In LU4, learners articulate the value of Kubernetes solutions by exploring coding standards, security measures, and resource management. This unit empowers learners to effectively communicate the benefits of their solutions, addressing the performance gap of articulating value. By understanding application security and configuration, learners gain the capability to optimize their Kubernetes implementations.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LU5: Networking and Access Management</w:t>
            </w:r>
          </w:p>
          <w:p w14:paraId="05597094" w14:textId="0E77B0A2" w:rsidR="00C12807" w:rsidRDefault="00C12807" w:rsidP="00AA2A50">
            <w:pPr>
              <w:rPr>
                <w:rFonts w:ascii="Arial" w:hAnsi="Arial" w:cs="Arial"/>
              </w:rPr>
            </w:pPr>
            <w:r w:rsidRPr="0044744A">
              <w:rPr>
                <w:rFonts w:ascii="Arial" w:hAnsi="Arial" w:cs="Arial"/>
              </w:rPr>
              <w:t xml:space="preserve">LU5 culminates the training by focusing on networking and service management within Kubernetes. Learners will establish monitoring and testing processes to validate their architectures against business requirements. This unit equips learners with the knowledge to implement effective monitoring strategies, addressing the performance gap of lacking validation processes.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performance gaps identified in the industry while equipping learners with the necessary attributes to excel in their roles as Kubernetes application developers.</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Container Image Management</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Application Design and Build (K1, K2, A1, A2)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Define, build and modify container images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Choose and use the right workload resource (Deployment, DaemonSet, CronJob, etc.)</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Understand multi-container Pod design patterns (e.g. sidecar, init and others)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Utilize persistent and ephemeral volumes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Establish high-level structures and frameworks for Kubernetes solutions using appropriate processes and tools.</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K1: Process for refining solution architecture</w:t>
            </w:r>
          </w:p>
          <w:p w14:paraId="42521D6C" w14:textId="7D5813F7" w:rsidR="00EE4DD6" w:rsidRPr="00AA2A50" w:rsidRDefault="00EE4DD6" w:rsidP="00AA2A50">
            <w:pPr>
              <w:rPr>
                <w:rFonts w:ascii="Arial" w:hAnsi="Arial" w:cs="Arial"/>
                <w:bCs/>
              </w:rPr>
            </w:pPr>
            <w:r w:rsidRPr="00AA2A50">
              <w:rPr>
                <w:rFonts w:ascii="Arial" w:hAnsi="Arial" w:cs="Arial"/>
                <w:bCs/>
              </w:rPr>
              <w:t xml:space="preserve">K2: Applications of tools and modelling techniques for creation of solution architecture</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Establish high-level structures and frameworks to guide the development of IT solutions incorporating various processes, hardware and software components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A2: Determine relevant design tools or modelling techniques required to develop a solution architecture and blueprint</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Deployment Strategies</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Application Deployment (K3, A3)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Use Kubernetes primitives to implement common deployment strategies (e.g. blue/green or canary)</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Deployments and how to perform rolling updates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Use the Helm package manager to deploy existing packages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Kustomize</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Align technical, functional, and service requirements within Kubernetes-based solution architectures.</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K3: Technical, functional and service considerations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A3: Align requirements of various internal and external stakeholders, as well as technical, functional and service requirements within a solution architecture</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LU3: Application Monitoring and Debugging</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CC59D43" w14:textId="77777777" w:rsidR="00CE5F9B" w:rsidRPr="00AA2A50" w:rsidRDefault="00CE5F9B" w:rsidP="00AA2A50">
            <w:pPr>
              <w:rPr>
                <w:rFonts w:ascii="Arial" w:hAnsi="Arial" w:cs="Arial"/>
                <w:b/>
              </w:rPr>
            </w:pPr>
            <w:r w:rsidRPr="00AA2A50">
              <w:rPr>
                <w:rFonts w:ascii="Arial" w:hAnsi="Arial" w:cs="Arial"/>
                <w:b/>
              </w:rPr>
              <w:t xml:space="preserve">Topic 3: Application Observability and Maintenance (K4, K6, A4)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Understand API deprecations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Implement probes and health checks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Use built-in CLI tools to monitor Kubernetes applications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Utilize container logs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Debugging in Kubernetes</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5A250EA9" w14:textId="77777777" w:rsidR="00CE5F9B" w:rsidRPr="00AA2A50" w:rsidRDefault="00CE5F9B" w:rsidP="00AA2A50">
            <w:pPr>
              <w:rPr>
                <w:rFonts w:ascii="Arial" w:hAnsi="Arial" w:cs="Arial"/>
                <w:bCs/>
              </w:rPr>
            </w:pPr>
            <w:r w:rsidRPr="00AA2A50">
              <w:rPr>
                <w:rFonts w:ascii="Arial" w:hAnsi="Arial" w:cs="Arial"/>
                <w:bCs/>
              </w:rPr>
              <w:t xml:space="preserve">LO3 – Coordinate multiple Kubernetes solution components to ensure compatibility and meet design framework goals.</w:t>
            </w:r>
          </w:p>
          <w:p w14:paraId="3BB910CD" w14:textId="77777777" w:rsidR="00CE5F9B" w:rsidRPr="00AA2A50" w:rsidRDefault="00CE5F9B" w:rsidP="00AA2A50">
            <w:pPr>
              <w:rPr>
                <w:rFonts w:ascii="Arial" w:hAnsi="Arial" w:cs="Arial"/>
                <w:bCs/>
              </w:rPr>
            </w:pPr>
            <w:r w:rsidRPr="00AA2A50">
              <w:rPr>
                <w:rFonts w:ascii="Arial" w:hAnsi="Arial" w:cs="Arial"/>
                <w:bCs/>
              </w:rPr>
              <w:t xml:space="preserve"> </w:t>
            </w:r>
          </w:p>
          <w:p w14:paraId="5A250EA9" w14:textId="77777777" w:rsidR="00CE5F9B" w:rsidRPr="00AA2A50" w:rsidRDefault="00CE5F9B" w:rsidP="00AA2A50">
            <w:pPr>
              <w:rPr>
                <w:rFonts w:ascii="Arial" w:hAnsi="Arial" w:cs="Arial"/>
                <w:bCs/>
              </w:rPr>
            </w:pPr>
            <w:r w:rsidRPr="00AA2A50">
              <w:rPr>
                <w:rFonts w:ascii="Arial" w:hAnsi="Arial" w:cs="Arial"/>
                <w:bCs/>
              </w:rPr>
              <w:t xml:space="preserve">K4: Considerations for multiple aspects of the overall solution including performance, security, latency and other relevant aspects for the solution</w:t>
            </w:r>
          </w:p>
          <w:p w14:paraId="5A250EA9" w14:textId="77777777" w:rsidR="00CE5F9B" w:rsidRPr="00AA2A50" w:rsidRDefault="00CE5F9B" w:rsidP="00AA2A50">
            <w:pPr>
              <w:rPr>
                <w:rFonts w:ascii="Arial" w:hAnsi="Arial" w:cs="Arial"/>
                <w:bCs/>
              </w:rPr>
            </w:pPr>
            <w:r w:rsidRPr="00AA2A50">
              <w:rPr>
                <w:rFonts w:ascii="Arial" w:hAnsi="Arial" w:cs="Arial"/>
                <w:bCs/>
              </w:rPr>
              <w:t xml:space="preserve">K6: Compatibility among multiple solution architecture components and design activities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A4: Coordinate multiple solution architecture components and design activities, ensuring consistency and compatibility within a target framework</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lastRenderedPageBreak/>
              <w:t xml:space="preserve">LU4: Security and Configuration Management</w:t>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1F3F33C2" w14:textId="77777777" w:rsidR="00CE5F9B" w:rsidRPr="00AA2A50" w:rsidRDefault="00CE5F9B" w:rsidP="00AA2A50">
            <w:pPr>
              <w:rPr>
                <w:rFonts w:ascii="Arial" w:hAnsi="Arial" w:cs="Arial"/>
                <w:b/>
              </w:rPr>
            </w:pPr>
            <w:r w:rsidRPr="00AA2A50">
              <w:rPr>
                <w:rFonts w:ascii="Arial" w:hAnsi="Arial" w:cs="Arial"/>
                <w:b/>
              </w:rPr>
              <w:t xml:space="preserve">Topic 4: Application Environment, Configuration and Security (K5, A5)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Discover and use resources that extend Kubernetes (CRD, Operators)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authentication, authorization and admission control</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requests, limits, quotas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ConfigMaps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Define resource requirements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Create &amp; consume Secrets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ServiceAccounts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Application Security (SecurityContexts, Capabilities, etc.)</w:t>
            </w:r>
          </w:p>
          <w:p w14:paraId="6CE850CA" w14:textId="77777777" w:rsidR="00CE5F9B" w:rsidRPr="00AA2A50" w:rsidRDefault="00CE5F9B" w:rsidP="00AA2A50">
            <w:pPr>
              <w:rPr>
                <w:rFonts w:ascii="Arial" w:hAnsi="Arial" w:cs="Arial"/>
                <w:bCs/>
              </w:rPr>
            </w:pPr>
            <w:r w:rsidRPr="00AA2A50">
              <w:rPr>
                <w:rFonts w:ascii="Arial" w:hAnsi="Arial" w:cs="Arial"/>
                <w:bCs/>
              </w:rPr>
              <w:t xml:space="preserve"/>
            </w:r>
          </w:p>
          <w:p w14:paraId="6CCAA853" w14:textId="77777777" w:rsidR="00CE5F9B" w:rsidRPr="00AA2A50" w:rsidRDefault="00CE5F9B" w:rsidP="00AA2A50">
            <w:pPr>
              <w:rPr>
                <w:rFonts w:ascii="Arial" w:hAnsi="Arial" w:cs="Arial"/>
                <w:bCs/>
              </w:rPr>
            </w:pPr>
            <w:r w:rsidRPr="00AA2A50">
              <w:rPr>
                <w:rFonts w:ascii="Arial" w:hAnsi="Arial" w:cs="Arial"/>
                <w:bCs/>
              </w:rPr>
              <w:t xml:space="preserve">LO4 – Articulate the value of Kubernetes solutions by addressing coding standards, scalability, and reusability.</w:t>
            </w:r>
          </w:p>
          <w:p w14:paraId="198B9EEA" w14:textId="77777777" w:rsidR="00CE5F9B" w:rsidRPr="00AA2A50" w:rsidRDefault="00CE5F9B" w:rsidP="00AA2A50">
            <w:pPr>
              <w:rPr>
                <w:rFonts w:ascii="Arial" w:hAnsi="Arial" w:cs="Arial"/>
                <w:bCs/>
              </w:rPr>
            </w:pPr>
            <w:r w:rsidRPr="00AA2A50">
              <w:rPr>
                <w:rFonts w:ascii="Arial" w:hAnsi="Arial" w:cs="Arial"/>
                <w:bCs/>
              </w:rPr>
              <w:t xml:space="preserve"> </w:t>
            </w:r>
          </w:p>
          <w:p w14:paraId="6CCAA853" w14:textId="77777777" w:rsidR="00CE5F9B" w:rsidRPr="00AA2A50" w:rsidRDefault="00CE5F9B" w:rsidP="00AA2A50">
            <w:pPr>
              <w:rPr>
                <w:rFonts w:ascii="Arial" w:hAnsi="Arial" w:cs="Arial"/>
                <w:bCs/>
              </w:rPr>
            </w:pPr>
            <w:r w:rsidRPr="00AA2A50">
              <w:rPr>
                <w:rFonts w:ascii="Arial" w:hAnsi="Arial" w:cs="Arial"/>
                <w:bCs/>
              </w:rPr>
              <w:t xml:space="preserve">K5: Standards for coding, scalability, integration and reusability</w:t>
            </w:r>
          </w:p>
          <w:p w14:paraId="6CCAA853" w14:textId="77777777" w:rsidR="00CE5F9B" w:rsidRPr="00AA2A50" w:rsidRDefault="00CE5F9B" w:rsidP="00AA2A50">
            <w:pPr>
              <w:rPr>
                <w:rFonts w:ascii="Arial" w:hAnsi="Arial" w:cs="Arial"/>
                <w:bCs/>
              </w:rPr>
            </w:pPr>
            <w:r w:rsidRPr="00AA2A50">
              <w:rPr>
                <w:rFonts w:ascii="Arial" w:hAnsi="Arial" w:cs="Arial"/>
                <w:bCs/>
              </w:rPr>
              <w:t xml:space="preserve">A5: Articulate value added by the solution to the business needs</w:t>
            </w:r>
          </w:p>
        </w:tc>
      </w:tr>
      <w:tr w:rsidR="008D7BB4" w:rsidRPr="00686EC4" w14:paraId="0DE6E46A" w14:textId="77777777" w:rsidTr="00171445">
        <w:trPr>
          <w:trHeight w:val="58"/>
        </w:trPr>
        <w:tc>
          <w:tcPr>
            <w:tcW w:w="3261" w:type="dxa"/>
          </w:tcPr>
          <w:p w14:paraId="0955DAC3" w14:textId="5CFD8B02"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LU5: Networking and Access Management</w:t>
            </w:r>
          </w:p>
        </w:tc>
        <w:tc>
          <w:tcPr>
            <w:tcW w:w="6804" w:type="dxa"/>
          </w:tcPr>
          <w:p w14:paraId="2D692F2C" w14:textId="22815671"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DBB5106" w14:textId="77777777" w:rsidR="00CE5F9B" w:rsidRPr="00AA2A50" w:rsidRDefault="00CE5F9B" w:rsidP="00AA2A50">
            <w:pPr>
              <w:rPr>
                <w:rFonts w:ascii="Arial" w:hAnsi="Arial" w:cs="Arial"/>
                <w:b/>
              </w:rPr>
            </w:pPr>
            <w:r w:rsidRPr="00AA2A50">
              <w:rPr>
                <w:rFonts w:ascii="Arial" w:hAnsi="Arial" w:cs="Arial"/>
                <w:b/>
              </w:rPr>
              <w:t xml:space="preserve">Topic 5: Services and Networking (K7, A6)  </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Demonstrate basic understanding of NetworkPolicies</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Provide and troubleshoot access to applications via services</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Use Ingress rules to expose applications</w:t>
            </w:r>
          </w:p>
          <w:p w14:paraId="446C955C" w14:textId="77777777" w:rsidR="00CE5F9B" w:rsidRPr="00AA2A50" w:rsidRDefault="00CE5F9B" w:rsidP="00AA2A50">
            <w:pPr>
              <w:rPr>
                <w:rFonts w:ascii="Arial" w:hAnsi="Arial" w:cs="Arial"/>
                <w:bCs/>
              </w:rPr>
            </w:pPr>
            <w:r w:rsidRPr="00AA2A50">
              <w:rPr>
                <w:rFonts w:ascii="Arial" w:hAnsi="Arial" w:cs="Arial"/>
                <w:bCs/>
              </w:rPr>
              <w:t xml:space="preserve"/>
            </w:r>
          </w:p>
          <w:p w14:paraId="60B2EDC7" w14:textId="77777777" w:rsidR="00CE5F9B" w:rsidRPr="00AA2A50" w:rsidRDefault="00CE5F9B" w:rsidP="00AA2A50">
            <w:pPr>
              <w:rPr>
                <w:rFonts w:ascii="Arial" w:hAnsi="Arial" w:cs="Arial"/>
                <w:bCs/>
              </w:rPr>
            </w:pPr>
            <w:r w:rsidRPr="00AA2A50">
              <w:rPr>
                <w:rFonts w:ascii="Arial" w:hAnsi="Arial" w:cs="Arial"/>
                <w:bCs/>
              </w:rPr>
              <w:t xml:space="preserve">LO5 – Establish monitoring and testing processes to validate Kubernetes architectures against business requirements.</w:t>
            </w:r>
          </w:p>
          <w:p w14:paraId="2B7AADE4" w14:textId="77777777" w:rsidR="00CE5F9B" w:rsidRPr="00AA2A50" w:rsidRDefault="00CE5F9B" w:rsidP="00AA2A50">
            <w:pPr>
              <w:rPr>
                <w:rFonts w:ascii="Arial" w:hAnsi="Arial" w:cs="Arial"/>
                <w:bCs/>
              </w:rPr>
            </w:pPr>
            <w:r w:rsidRPr="00AA2A50">
              <w:rPr>
                <w:rFonts w:ascii="Arial" w:hAnsi="Arial" w:cs="Arial"/>
                <w:bCs/>
              </w:rPr>
              <w:t xml:space="preserve"> </w:t>
            </w:r>
          </w:p>
          <w:p w14:paraId="60B2EDC7" w14:textId="77777777" w:rsidR="00CE5F9B" w:rsidRPr="00AA2A50" w:rsidRDefault="00CE5F9B" w:rsidP="00AA2A50">
            <w:pPr>
              <w:rPr>
                <w:rFonts w:ascii="Arial" w:hAnsi="Arial" w:cs="Arial"/>
                <w:bCs/>
              </w:rPr>
            </w:pPr>
            <w:r w:rsidRPr="00AA2A50">
              <w:rPr>
                <w:rFonts w:ascii="Arial" w:hAnsi="Arial" w:cs="Arial"/>
                <w:bCs/>
              </w:rPr>
              <w:t xml:space="preserve">K7: Techniques to measure a solution's value-add</w:t>
            </w:r>
          </w:p>
          <w:p w14:paraId="60B2EDC7" w14:textId="77777777" w:rsidR="00CE5F9B" w:rsidRPr="00AA2A50" w:rsidRDefault="00CE5F9B" w:rsidP="00AA2A50">
            <w:pPr>
              <w:rPr>
                <w:rFonts w:ascii="Arial" w:hAnsi="Arial" w:cs="Arial"/>
                <w:bCs/>
              </w:rPr>
            </w:pPr>
            <w:r w:rsidRPr="00AA2A50">
              <w:rPr>
                <w:rFonts w:ascii="Arial" w:hAnsi="Arial" w:cs="Arial"/>
                <w:bCs/>
              </w:rPr>
              <w:t xml:space="preserve">A6: Establish processes to regularly monitor, test and review solution architecture against business requirements</w:t>
            </w:r>
          </w:p>
        </w:tc>
      </w:tr>
      <w:tr w:rsidR="008D7BB4" w:rsidRPr="00686EC4" w14:paraId="75991342" w14:textId="77777777" w:rsidTr="00171445">
        <w:trPr>
          <w:trHeight w:val="308"/>
        </w:trPr>
        <w:tc>
          <w:tcPr>
            <w:tcW w:w="3261" w:type="dxa"/>
          </w:tcPr>
          <w:p w14:paraId="6DD55F57" w14:textId="05CAB9A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
            </w:r>
          </w:p>
        </w:tc>
        <w:tc>
          <w:tcPr>
            <w:tcW w:w="6804" w:type="dxa"/>
          </w:tcPr>
          <w:p w14:paraId="1C7972E2" w14:textId="693F8D43"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Container Image Management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Establish high-level structures and frameworks for Kubernetes solutions using appropriate processes and tools.</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K1, K2, A1, A2</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 K2</w:t>
              <w:br/>
              <w:t xml:space="preserve"/>
              <w:br/>
              <w:t xml:space="preserve">Practical Performance (PP) – A1, A2</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12 mins</w:t>
              <w:br/>
              <w:t xml:space="preserve"/>
              <w:br/>
              <w:t xml:space="preserve">Practical Performance (PP) – 12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Classroom</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Didactic Questioning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Demonstration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Practical</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Deployment Strategies</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Align technical, functional, and service requirements within Kubernetes-based solution architectures.</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K3, A3</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K3</w:t>
              <w:br/>
              <w:t xml:space="preserve"/>
              <w:br/>
              <w:t xml:space="preserve">Practical Performance (PP) – A3</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12 mins</w:t>
              <w:br/>
              <w:t xml:space="preserve"/>
              <w:br/>
              <w:t xml:space="preserve">Practical Performance (PP) – 12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LU3: Application Monitoring and Debugging</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LO3: Coordinate multiple Kubernetes solution components to ensure compatibility and meet design framework goals.</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K4, K6, A4</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K4, K6</w:t>
              <w:br/>
              <w:t xml:space="preserve"/>
              <w:br/>
              <w:t xml:space="preserve">Practical Performance (PP) – A4</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12 mins</w:t>
              <w:br/>
              <w:t xml:space="preserve"/>
              <w:br/>
              <w:t xml:space="preserve">Practical Performance (PP) – 12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5217ACA5" w14:textId="409F67B8" w:rsidR="00865B7E" w:rsidRPr="009A6481" w:rsidRDefault="00865B7E" w:rsidP="009A6481">
            <w:pPr>
              <w:spacing w:after="0" w:line="240" w:lineRule="auto"/>
              <w:rPr>
                <w:rFonts w:ascii="Arial" w:hAnsi="Arial" w:cs="Arial"/>
                <w:i/>
              </w:rPr>
            </w:pPr>
            <w:r w:rsidRPr="009A6481">
              <w:rPr>
                <w:rFonts w:ascii="Arial" w:hAnsi="Arial" w:cs="Arial"/>
                <w:i/>
              </w:rPr>
              <w:t xml:space="preserve">    4</w:t>
            </w:r>
          </w:p>
          <w:p w14:paraId="49D2BECC" w14:textId="71471A7E"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LU4: Security and Configuration Management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LO4: Articulate the value of Kubernetes solutions by addressing coding standards, scalability, and reusability.</w:t>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K5, A5</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K5</w:t>
              <w:br/>
              <w:t xml:space="preserve"/>
              <w:br/>
              <w:t xml:space="preserve">Practical Performance (PP) – A5</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12 mins</w:t>
              <w:br/>
              <w:t xml:space="preserve"/>
              <w:br/>
              <w:t xml:space="preserve">Practical Performance (PP) – 12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332A632D"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1820FC" w14:textId="26C7C887"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52B64062" w14:textId="06AC72ED" w:rsidR="00865B7E" w:rsidRPr="009A6481" w:rsidRDefault="00865B7E" w:rsidP="009A6481">
            <w:pPr>
              <w:spacing w:after="0" w:line="240" w:lineRule="auto"/>
              <w:rPr>
                <w:rFonts w:ascii="Arial" w:hAnsi="Arial" w:cs="Arial"/>
                <w:i/>
              </w:rPr>
            </w:pPr>
            <w:r w:rsidRPr="009A6481">
              <w:rPr>
                <w:rFonts w:ascii="Arial" w:hAnsi="Arial" w:cs="Arial"/>
                <w:i/>
              </w:rPr>
              <w:t xml:space="preserve">    5</w:t>
            </w:r>
          </w:p>
          <w:p w14:paraId="386C46B6" w14:textId="34D0CB77"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E173BC" w14:textId="535BBB42"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LU5: Networking and Access Management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A2FDF1" w14:textId="26108D9C"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LO5: Establish monitoring and testing processes to validate Kubernetes architectures against business requirements.</w:t>
            </w:r>
          </w:p>
          <w:p w14:paraId="60FE26BE" w14:textId="77777777" w:rsidR="00937977" w:rsidRPr="009A6481" w:rsidRDefault="00937977" w:rsidP="009A6481">
            <w:pPr>
              <w:spacing w:after="0" w:line="240" w:lineRule="auto"/>
              <w:rPr>
                <w:rFonts w:ascii="Arial" w:hAnsi="Arial" w:cs="Arial"/>
              </w:rPr>
            </w:pPr>
          </w:p>
          <w:p w14:paraId="6021AEF0" w14:textId="3B00567D"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K7, A6</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411D82" w14:textId="099ED1FF"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K7</w:t>
              <w:br/>
              <w:t xml:space="preserve"/>
              <w:br/>
              <w:t xml:space="preserve">Practical Performance (PP) – A6</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C26A" w14:textId="011CCFC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12 mins</w:t>
              <w:br/>
              <w:t xml:space="preserve"/>
              <w:br/>
              <w:t xml:space="preserve">Practical Performance (PP) – 12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E1FBB2F" w14:textId="0AFDA889"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422D391" w14:textId="19C2057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4]</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71B3F1D" w14:textId="3B1421BF"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51026B" w14:textId="0E5F7ACD"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DD69645" w14:textId="75E9F602"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4]</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C4F8EEA" w14:textId="7FF6B8DA"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1 hr</w:t>
              <w:br/>
              <w:t xml:space="preserve">PP – 1 hr</w:t>
              <w:br/>
              <w:t xml:space="preserve">Total – 2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15</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xml:space="preserve">Didactic Questioning</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Demonstration</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xml:space="preserve">Practical</w:t>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r w:rsidR="000459ED" w:rsidRPr="002B3AA6" w14:paraId="382A413E" w14:textId="77777777" w:rsidTr="00222624">
        <w:tc>
          <w:tcPr>
            <w:tcW w:w="2405" w:type="dxa"/>
            <w:shd w:val="clear" w:color="auto" w:fill="auto"/>
          </w:tcPr>
          <w:p w14:paraId="7ED54292" w14:textId="77777777" w:rsidR="000459ED" w:rsidRPr="00AA2A50" w:rsidRDefault="000459ED" w:rsidP="00AA2A50">
            <w:pPr>
              <w:rPr>
                <w:rFonts w:ascii="Arial" w:eastAsia="Times New Roman" w:hAnsi="Arial" w:cs="Arial"/>
              </w:rPr>
            </w:pPr>
            <w:r w:rsidRPr="00AA2A50">
              <w:rPr>
                <w:rFonts w:ascii="Arial" w:eastAsia="Times New Roman" w:hAnsi="Arial" w:cs="Arial"/>
              </w:rPr>
              <w:t xml:space="preserve"/>
            </w:r>
          </w:p>
        </w:tc>
        <w:tc>
          <w:tcPr>
            <w:tcW w:w="1985" w:type="dxa"/>
          </w:tcPr>
          <w:p w14:paraId="17964468" w14:textId="77777777" w:rsidR="000459ED" w:rsidRPr="00AA2A50" w:rsidRDefault="000459ED" w:rsidP="00AA2A50">
            <w:pPr>
              <w:rPr>
                <w:rFonts w:ascii="Arial" w:hAnsi="Arial" w:cs="Arial"/>
              </w:rPr>
            </w:pPr>
            <w:r w:rsidRPr="00AA2A50">
              <w:rPr>
                <w:rFonts w:ascii="Arial" w:hAnsi="Arial" w:cs="Arial"/>
              </w:rPr>
              <w:t>1:3 (Min)</w:t>
            </w:r>
          </w:p>
          <w:p w14:paraId="625428D1" w14:textId="7ACB0B7D"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5A84C613" w14:textId="77777777"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32AFB6EC" w14:textId="77777777" w:rsidR="000459ED" w:rsidRPr="00AA2A50" w:rsidRDefault="000459ED" w:rsidP="00AA2A50">
            <w:pPr>
              <w:suppressAutoHyphens w:val="0"/>
              <w:rPr>
                <w:rFonts w:ascii="Arial" w:eastAsia="Times New Roman" w:hAnsi="Arial" w:cs="Arial"/>
                <w:lang w:val="en-SG"/>
              </w:rPr>
            </w:pPr>
          </w:p>
          <w:p w14:paraId="709277B0" w14:textId="457589A8"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3E068B5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1C1C010A"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7960A93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51AEC0E0" w14:textId="0C484886"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lastRenderedPageBreak/>
              <w:t>It can help to prepare learners for future challenges by providing them with the skills and knowledge they need to succeed.</w:t>
            </w:r>
          </w:p>
        </w:tc>
      </w:tr>
      <w:tr w:rsidR="000459ED" w:rsidRPr="002B3AA6" w14:paraId="3D3E9424" w14:textId="77777777" w:rsidTr="00222624">
        <w:tc>
          <w:tcPr>
            <w:tcW w:w="2405" w:type="dxa"/>
            <w:shd w:val="clear" w:color="auto" w:fill="auto"/>
          </w:tcPr>
          <w:p w14:paraId="25377304" w14:textId="77777777" w:rsidR="000459ED" w:rsidRPr="00AA2A50" w:rsidRDefault="000459ED" w:rsidP="00AA2A50">
            <w:pPr>
              <w:rPr>
                <w:rFonts w:ascii="Arial" w:hAnsi="Arial" w:cs="Arial"/>
              </w:rPr>
            </w:pPr>
            <w:r w:rsidRPr="00AA2A50">
              <w:rPr>
                <w:rFonts w:ascii="Arial" w:hAnsi="Arial" w:cs="Arial"/>
              </w:rPr>
              <w:lastRenderedPageBreak/>
              <w:t xml:space="preserve"/>
            </w:r>
          </w:p>
        </w:tc>
        <w:tc>
          <w:tcPr>
            <w:tcW w:w="1985" w:type="dxa"/>
          </w:tcPr>
          <w:p w14:paraId="7DE66B2E" w14:textId="77777777" w:rsidR="000459ED" w:rsidRPr="00AA2A50" w:rsidRDefault="000459ED" w:rsidP="00AA2A50">
            <w:pPr>
              <w:rPr>
                <w:rFonts w:ascii="Arial" w:hAnsi="Arial" w:cs="Arial"/>
              </w:rPr>
            </w:pPr>
            <w:r w:rsidRPr="00AA2A50">
              <w:rPr>
                <w:rFonts w:ascii="Arial" w:hAnsi="Arial" w:cs="Arial"/>
              </w:rPr>
              <w:t>1:3 (Min)</w:t>
            </w:r>
          </w:p>
          <w:p w14:paraId="78C66F0B" w14:textId="0BAAAFC3"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2E257C9F" w14:textId="3D1EAC40"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 xml:space="preserve">Peer Sharing is conducted in a group size of </w:t>
            </w:r>
            <w:r w:rsidR="009410FC">
              <w:rPr>
                <w:rFonts w:ascii="Arial" w:eastAsia="Times New Roman" w:hAnsi="Arial" w:cs="Arial"/>
              </w:rPr>
              <w:t>3</w:t>
            </w:r>
            <w:r w:rsidR="00C75739">
              <w:rPr>
                <w:rFonts w:ascii="Arial" w:eastAsia="Times New Roman" w:hAnsi="Arial" w:cs="Arial"/>
              </w:rPr>
              <w:t xml:space="preserve"> to </w:t>
            </w:r>
            <w:r w:rsidRPr="00AA2A50">
              <w:rPr>
                <w:rFonts w:ascii="Arial" w:eastAsia="Times New Roman" w:hAnsi="Arial" w:cs="Arial"/>
              </w:rPr>
              <w:t>5 pax. Peer sharing is an instructional technique that involves learners sharing their ideas, experiences, and perspectives in a structured and facilitated manner.</w:t>
            </w:r>
          </w:p>
          <w:p w14:paraId="6F2A9CC0" w14:textId="77777777" w:rsidR="000459ED" w:rsidRPr="00AA2A50" w:rsidRDefault="000459ED" w:rsidP="00AA2A50">
            <w:pPr>
              <w:suppressAutoHyphens w:val="0"/>
              <w:rPr>
                <w:rFonts w:ascii="Arial" w:eastAsia="Times New Roman" w:hAnsi="Arial" w:cs="Arial"/>
              </w:rPr>
            </w:pPr>
          </w:p>
          <w:p w14:paraId="50CC6C68"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Facilitators will provide a clear prompt or question via a case study, encouraging learners to share their ideas and perspectives.</w:t>
            </w:r>
          </w:p>
          <w:p w14:paraId="4D67B8F5" w14:textId="77777777" w:rsidR="000459ED" w:rsidRPr="00AA2A50" w:rsidRDefault="000459ED" w:rsidP="00AA2A50">
            <w:pPr>
              <w:suppressAutoHyphens w:val="0"/>
              <w:rPr>
                <w:rFonts w:ascii="Arial" w:eastAsia="Times New Roman" w:hAnsi="Arial" w:cs="Arial"/>
              </w:rPr>
            </w:pPr>
          </w:p>
          <w:p w14:paraId="6F9EE185" w14:textId="1F2F6D6A"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fosters a collaborative learning environment where learners can work together to retain content and learn from each other.</w:t>
            </w:r>
          </w:p>
        </w:tc>
      </w:tr>
      <w:tr w:rsidR="00AE518A" w:rsidRPr="002B3AA6" w14:paraId="784CA158" w14:textId="77777777" w:rsidTr="00222624">
        <w:tc>
          <w:tcPr>
            <w:tcW w:w="2405" w:type="dxa"/>
            <w:shd w:val="clear" w:color="auto" w:fill="auto"/>
          </w:tcPr>
          <w:p w14:paraId="330DCE03" w14:textId="77777777" w:rsidR="00AE518A" w:rsidRPr="00AA2A50" w:rsidRDefault="00AE518A" w:rsidP="00AE518A">
            <w:pPr>
              <w:rPr>
                <w:rFonts w:ascii="Arial" w:hAnsi="Arial" w:cs="Arial"/>
              </w:rPr>
            </w:pPr>
            <w:r w:rsidRPr="00AA2A50">
              <w:rPr>
                <w:rFonts w:ascii="Arial" w:hAnsi="Arial" w:cs="Arial"/>
              </w:rPr>
              <w:t xml:space="preserve"/>
            </w:r>
          </w:p>
        </w:tc>
        <w:tc>
          <w:tcPr>
            <w:tcW w:w="1985" w:type="dxa"/>
          </w:tcPr>
          <w:p w14:paraId="7AE7BDE1" w14:textId="77777777" w:rsidR="00AE518A" w:rsidRPr="00AA2A50" w:rsidRDefault="00AE518A" w:rsidP="00AE518A">
            <w:pPr>
              <w:rPr>
                <w:rFonts w:ascii="Arial" w:hAnsi="Arial" w:cs="Arial"/>
              </w:rPr>
            </w:pPr>
            <w:r w:rsidRPr="00AA2A50">
              <w:rPr>
                <w:rFonts w:ascii="Arial" w:hAnsi="Arial" w:cs="Arial"/>
              </w:rPr>
              <w:t>1:3 (Min)</w:t>
            </w:r>
          </w:p>
          <w:p w14:paraId="38248BC2" w14:textId="276C478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3A2626FC" w14:textId="77777777" w:rsidR="00F51D1B" w:rsidRPr="00F51D1B" w:rsidRDefault="00F51D1B" w:rsidP="00F51D1B">
            <w:pPr>
              <w:suppressAutoHyphens w:val="0"/>
              <w:rPr>
                <w:rFonts w:ascii="Arial" w:eastAsia="Times New Roman" w:hAnsi="Arial" w:cs="Arial"/>
              </w:rPr>
            </w:pPr>
            <w:r w:rsidRPr="00F51D1B">
              <w:rPr>
                <w:rFonts w:ascii="Arial" w:eastAsia="Times New Roman" w:hAnsi="Arial" w:cs="Arial"/>
              </w:rPr>
              <w:t xml:space="preserve">Role play can simulate the real-life application of learning where learners will be able to learn and apply concepts directly in a </w:t>
            </w:r>
            <w:proofErr w:type="gramStart"/>
            <w:r w:rsidRPr="00F51D1B">
              <w:rPr>
                <w:rFonts w:ascii="Arial" w:eastAsia="Times New Roman" w:hAnsi="Arial" w:cs="Arial"/>
              </w:rPr>
              <w:t>low-risk</w:t>
            </w:r>
            <w:proofErr w:type="gramEnd"/>
            <w:r w:rsidRPr="00F51D1B">
              <w:rPr>
                <w:rFonts w:ascii="Arial" w:eastAsia="Times New Roman" w:hAnsi="Arial" w:cs="Arial"/>
              </w:rPr>
              <w:t xml:space="preserve"> setting.  Role-play could be between the facilitator and the learner or between learners playing the staff and customer role. The rest of the class will be observing the role-play.</w:t>
            </w:r>
          </w:p>
          <w:p w14:paraId="64B27713" w14:textId="77777777" w:rsidR="00F51D1B" w:rsidRPr="00F51D1B" w:rsidRDefault="00F51D1B" w:rsidP="00F51D1B">
            <w:pPr>
              <w:suppressAutoHyphens w:val="0"/>
              <w:rPr>
                <w:rFonts w:ascii="Arial" w:eastAsia="Times New Roman" w:hAnsi="Arial" w:cs="Arial"/>
              </w:rPr>
            </w:pPr>
          </w:p>
          <w:p w14:paraId="6D12762E" w14:textId="2D8EF277" w:rsidR="00AE518A" w:rsidRPr="00AA2A50" w:rsidRDefault="00F51D1B" w:rsidP="00F51D1B">
            <w:pPr>
              <w:suppressAutoHyphens w:val="0"/>
              <w:rPr>
                <w:rFonts w:ascii="Arial" w:eastAsia="Times New Roman" w:hAnsi="Arial" w:cs="Arial"/>
              </w:rPr>
            </w:pPr>
            <w:r w:rsidRPr="00F51D1B">
              <w:rPr>
                <w:rFonts w:ascii="Arial" w:eastAsia="Times New Roman" w:hAnsi="Arial" w:cs="Arial"/>
              </w:rPr>
              <w:t>After the role-play, the facilitator will conduct a debrief session to discuss what worked well and what could be improved. He will encourage learners to reflect on their experiences and share insights.</w:t>
            </w:r>
          </w:p>
        </w:tc>
      </w:tr>
      <w:tr w:rsidR="00AE518A" w:rsidRPr="002B3AA6" w14:paraId="71E6AE5A" w14:textId="77777777" w:rsidTr="00222624">
        <w:tc>
          <w:tcPr>
            <w:tcW w:w="2405" w:type="dxa"/>
            <w:shd w:val="clear" w:color="auto" w:fill="auto"/>
          </w:tcPr>
          <w:p w14:paraId="79855040"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w:r>
          </w:p>
        </w:tc>
        <w:tc>
          <w:tcPr>
            <w:tcW w:w="1985" w:type="dxa"/>
          </w:tcPr>
          <w:p w14:paraId="2F662F2B" w14:textId="77777777" w:rsidR="00AE518A" w:rsidRPr="00AA2A50" w:rsidRDefault="00AE518A" w:rsidP="00AE518A">
            <w:pPr>
              <w:rPr>
                <w:rFonts w:ascii="Arial" w:hAnsi="Arial" w:cs="Arial"/>
              </w:rPr>
            </w:pPr>
            <w:r w:rsidRPr="00AA2A50">
              <w:rPr>
                <w:rFonts w:ascii="Arial" w:hAnsi="Arial" w:cs="Arial"/>
              </w:rPr>
              <w:t>1:3 (Min)</w:t>
            </w:r>
          </w:p>
          <w:p w14:paraId="5C173B48" w14:textId="7E2C522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5593BC1" w14:textId="2C19A615"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 xml:space="preserve">Group Discussion is conducted in a group size of </w:t>
            </w:r>
            <w:r w:rsidR="002B58E6">
              <w:rPr>
                <w:rFonts w:ascii="Arial" w:eastAsia="Times New Roman" w:hAnsi="Arial" w:cs="Arial"/>
                <w:lang w:val="en-SG"/>
              </w:rPr>
              <w:t>3</w:t>
            </w:r>
            <w:r w:rsidR="00C75739">
              <w:rPr>
                <w:rFonts w:ascii="Arial" w:eastAsia="Times New Roman" w:hAnsi="Arial" w:cs="Arial"/>
                <w:lang w:val="en-SG"/>
              </w:rPr>
              <w:t xml:space="preserve"> to </w:t>
            </w:r>
            <w:r w:rsidRPr="00AA2A50">
              <w:rPr>
                <w:rFonts w:ascii="Arial" w:eastAsia="Times New Roman" w:hAnsi="Arial" w:cs="Arial"/>
                <w:lang w:val="en-SG"/>
              </w:rPr>
              <w:t>5 pax. It is an exchange of ideas on a topic facilitated by the facilitator or a learner (group member). It can be totally unstructured and spontaneous or highly structured.</w:t>
            </w:r>
          </w:p>
          <w:p w14:paraId="4B55FF9A" w14:textId="77777777" w:rsidR="00AE518A" w:rsidRPr="00AA2A50" w:rsidRDefault="00AE518A" w:rsidP="00AE518A">
            <w:pPr>
              <w:suppressAutoHyphens w:val="0"/>
              <w:rPr>
                <w:rFonts w:ascii="Arial" w:eastAsia="Times New Roman" w:hAnsi="Arial" w:cs="Arial"/>
                <w:lang w:val="en-SG"/>
              </w:rPr>
            </w:pPr>
          </w:p>
          <w:p w14:paraId="3D3BA265"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discussions allow learners to share ideas and thoughts on the principles and concepts learned. Facilitators manage the flow of the discussion, ensuring that all learners can speak, and that the conversation remains focused and productive.</w:t>
            </w:r>
          </w:p>
          <w:p w14:paraId="33D1C24D" w14:textId="77777777" w:rsidR="00AE518A" w:rsidRPr="00AA2A50" w:rsidRDefault="00AE518A" w:rsidP="00AE518A">
            <w:pPr>
              <w:suppressAutoHyphens w:val="0"/>
              <w:rPr>
                <w:rFonts w:ascii="Arial" w:eastAsia="Times New Roman" w:hAnsi="Arial" w:cs="Arial"/>
                <w:lang w:val="en-SG"/>
              </w:rPr>
            </w:pPr>
          </w:p>
          <w:p w14:paraId="024A27D4" w14:textId="1117D400"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By providing opportunities for learners to apply and discuss what they have learned in new situations, they can enhance their understanding and retention of the material.</w:t>
            </w:r>
          </w:p>
        </w:tc>
      </w:tr>
      <w:tr w:rsidR="00AE518A" w:rsidRPr="002B3AA6" w14:paraId="21D2A6DF" w14:textId="77777777" w:rsidTr="00222624">
        <w:tc>
          <w:tcPr>
            <w:tcW w:w="2405" w:type="dxa"/>
            <w:shd w:val="clear" w:color="auto" w:fill="auto"/>
          </w:tcPr>
          <w:p w14:paraId="5A2CB72D" w14:textId="77777777" w:rsidR="00AE518A" w:rsidRPr="00AA2A50" w:rsidRDefault="00AE518A" w:rsidP="00AE518A">
            <w:pPr>
              <w:rPr>
                <w:rFonts w:ascii="Arial" w:eastAsia="Times New Roman" w:hAnsi="Arial" w:cs="Arial"/>
              </w:rPr>
            </w:pPr>
            <w:r w:rsidRPr="00AA2A50">
              <w:rPr>
                <w:rFonts w:ascii="Arial" w:eastAsia="Times New Roman" w:hAnsi="Arial" w:cs="Arial"/>
              </w:rPr>
              <w:lastRenderedPageBreak/>
              <w:t xml:space="preserve"/>
            </w:r>
          </w:p>
        </w:tc>
        <w:tc>
          <w:tcPr>
            <w:tcW w:w="1985" w:type="dxa"/>
          </w:tcPr>
          <w:p w14:paraId="3E8B9996" w14:textId="77777777" w:rsidR="00AE518A" w:rsidRPr="00AA2A50" w:rsidRDefault="00AE518A" w:rsidP="00AE518A">
            <w:pPr>
              <w:rPr>
                <w:rFonts w:ascii="Arial" w:hAnsi="Arial" w:cs="Arial"/>
              </w:rPr>
            </w:pPr>
            <w:r w:rsidRPr="00AA2A50">
              <w:rPr>
                <w:rFonts w:ascii="Arial" w:hAnsi="Arial" w:cs="Arial"/>
              </w:rPr>
              <w:t>1:3 (Min)</w:t>
            </w:r>
          </w:p>
          <w:p w14:paraId="4405EC56" w14:textId="0C8FE091"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6A6E2B0" w14:textId="77777777" w:rsidR="00AE518A" w:rsidRPr="00AA2A50" w:rsidRDefault="00AE518A" w:rsidP="00AE518A">
            <w:pPr>
              <w:suppressAutoHyphens w:val="0"/>
              <w:autoSpaceDN/>
              <w:textAlignment w:val="auto"/>
              <w:rPr>
                <w:rFonts w:ascii="Arial" w:eastAsia="Times New Roman" w:hAnsi="Arial" w:cs="Arial"/>
                <w:lang w:val="en-SG"/>
              </w:rPr>
            </w:pPr>
            <w:r w:rsidRPr="00AA2A50">
              <w:rPr>
                <w:rFonts w:ascii="Arial" w:eastAsia="Times New Roman" w:hAnsi="Arial" w:cs="Arial"/>
                <w:lang w:val="en-SG"/>
              </w:rPr>
              <w:t>Learners, either individually or in groups, are to analyse a case – a written account of a work situation, and present findings and recommendations.</w:t>
            </w:r>
          </w:p>
          <w:p w14:paraId="32487C3B" w14:textId="4B531C67"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Case studies enable discussions on principles and concepts to be brought down to a reasonable level of concreteness.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2025EF" w:rsidRPr="00AD159D" w14:paraId="56F71374" w14:textId="77777777" w:rsidTr="00D8693A">
        <w:tc>
          <w:tcPr>
            <w:tcW w:w="2518" w:type="dxa"/>
            <w:shd w:val="clear" w:color="auto" w:fill="auto"/>
          </w:tcPr>
          <w:p w14:paraId="2C31ACE0" w14:textId="47E7AAF2" w:rsidR="009B1C4B" w:rsidRPr="00BC65BA" w:rsidRDefault="009B1C4B" w:rsidP="00BC65BA">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64E90E78" w14:textId="0908319C" w:rsidR="00C9008E" w:rsidRPr="00BC65BA" w:rsidRDefault="00C9008E"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2E4D09B5" w14:textId="5BDCFB8A" w:rsidR="002025EF" w:rsidRPr="00BC65BA" w:rsidRDefault="00C9008E" w:rsidP="00BC65BA">
            <w:pPr>
              <w:rPr>
                <w:rFonts w:ascii="Arial" w:hAnsi="Arial" w:cs="Arial"/>
              </w:rPr>
            </w:pPr>
            <w:r w:rsidRPr="00BC65BA">
              <w:rPr>
                <w:rFonts w:ascii="Arial" w:hAnsi="Arial" w:cs="Arial"/>
              </w:rPr>
              <w:t>1:20 (Max)</w:t>
            </w:r>
          </w:p>
        </w:tc>
        <w:tc>
          <w:tcPr>
            <w:tcW w:w="10068" w:type="dxa"/>
            <w:shd w:val="clear" w:color="auto" w:fill="auto"/>
          </w:tcPr>
          <w:p w14:paraId="165A261E" w14:textId="14F4F9E8" w:rsidR="00D44728" w:rsidRDefault="00D44728" w:rsidP="00BC65BA">
            <w:pPr>
              <w:rPr>
                <w:rFonts w:ascii="Arial" w:hAnsi="Arial" w:cs="Arial"/>
                <w:bCs/>
              </w:rPr>
            </w:pPr>
            <w:r>
              <w:rPr>
                <w:rFonts w:ascii="Arial" w:hAnsi="Arial" w:cs="Arial"/>
                <w:bCs/>
              </w:rPr>
              <w:t xml:space="preserve"/>
            </w:r>
          </w:p>
          <w:p w14:paraId="095B09D8" w14:textId="0B935E3C"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095B09D8" w14:textId="0B935E3C"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apply Kubernetes concepts in real-world scenarios. Candidates will complete practical tasks that demonstrate their ability to design, deploy, and manage Kubernetes applications effectively.</w:t>
            </w:r>
          </w:p>
          <w:p w14:paraId="095B09D8" w14:textId="0B935E3C" w:rsidR="008B613F" w:rsidRPr="00BC65BA" w:rsidRDefault="008B613F" w:rsidP="00BC65BA">
            <w:pPr>
              <w:rPr>
                <w:rFonts w:ascii="Arial" w:hAnsi="Arial" w:cs="Arial"/>
                <w:bCs/>
              </w:rPr>
            </w:pPr>
            <w:r w:rsidRPr="00BC65BA">
              <w:rPr>
                <w:rFonts w:ascii="Arial" w:hAnsi="Arial" w:cs="Arial"/>
                <w:bCs/>
              </w:rPr>
              <w:t xml:space="preserve">Type of Evidence:</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create a Kubernetes solution architecture that incorporates various processes and tools.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align technical and functional requirements within a Kubernetes deployment scenario.</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coordinate multiple Kubernetes components to ensure compatibility and meet design goals.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LO4: Candidates will articulate the value of their Kubernetes solutions by addressing coding standards and scalability.</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LO5: Candidates will establish monitoring and testing processes to validate their Kubernetes architectures.</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Manner of Submission:</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completed Kubernetes configurations, deployment scripts, and any additional documentation that supports their practical tasks.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annotated screenshots or logs demonstrating the functionality of their Kubernetes applications.</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Marking Process: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Functionality of Kubernetes solutions.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Adherence to best practices.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Quality of documentation and submission.</w:t>
            </w:r>
          </w:p>
          <w:p w14:paraId="095B09D8" w14:textId="0B935E3C" w:rsidR="008B613F" w:rsidRPr="00BC65BA" w:rsidRDefault="008B613F" w:rsidP="00BC65BA">
            <w:pPr>
              <w:rPr>
                <w:rFonts w:ascii="Arial" w:hAnsi="Arial" w:cs="Arial"/>
                <w:bCs/>
              </w:rPr>
            </w:pPr>
            <w:r w:rsidRPr="00BC65BA">
              <w:rPr>
                <w:rFonts w:ascii="Arial" w:hAnsi="Arial" w:cs="Arial"/>
                <w:bCs/>
              </w:rPr>
              <w:t xml:space="preserve">Retention Period:</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Kubernetes configurations and assessment records, will be retained for 3 years for compliance and auditing purposes.</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Practical Performance (PP)</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 xml:space="preserve">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56BE237A" w14:textId="69E4A751"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apply Kubernetes concepts in real-world scenarios. Candidates will complete practical tasks that demonstrate their ability to design, deploy, and manage Kubernetes applications effectively.</w:t>
            </w:r>
          </w:p>
          <w:p w14:paraId="56BE237A" w14:textId="69E4A751" w:rsidR="008B613F" w:rsidRPr="00BC65BA" w:rsidRDefault="008B613F" w:rsidP="00BC65BA">
            <w:pPr>
              <w:rPr>
                <w:rFonts w:ascii="Arial" w:hAnsi="Arial" w:cs="Arial"/>
                <w:bCs/>
              </w:rPr>
            </w:pPr>
            <w:r w:rsidRPr="00BC65BA">
              <w:rPr>
                <w:rFonts w:ascii="Arial" w:hAnsi="Arial" w:cs="Arial"/>
                <w:bCs/>
              </w:rPr>
              <w:t xml:space="preserve">Type of Evidence: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create a Kubernetes solution architecture that incorporates various processes and tools.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align technical and functional requirements within a Kubernetes deployment scenario.</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coordinate multiple Kubernetes components to ensure compatibility and meet design goals.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LO4: Candidates will articulate the value of their Kubernetes solutions by addressing coding standards and scalability.</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LO5: Candidates will establish monitoring and testing processes to validate their Kubernetes architectures.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Manner of Submission: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completed Kubernetes configurations, deployment scripts, and any additional documentation that supports their practical tasks.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annotated screenshots or logs demonstrating the functionality of their Kubernetes applications.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Marking Process: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Functionality of Kubernetes solutions.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Adherence to best practices.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Quality of documentation and submission.</w:t>
            </w:r>
          </w:p>
          <w:p w14:paraId="56BE237A" w14:textId="69E4A751" w:rsidR="008B613F" w:rsidRPr="00BC65BA" w:rsidRDefault="008B613F" w:rsidP="00BC65BA">
            <w:pPr>
              <w:rPr>
                <w:rFonts w:ascii="Arial" w:hAnsi="Arial" w:cs="Arial"/>
                <w:bCs/>
              </w:rPr>
            </w:pPr>
            <w:r w:rsidRPr="00BC65BA">
              <w:rPr>
                <w:rFonts w:ascii="Arial" w:hAnsi="Arial" w:cs="Arial"/>
                <w:bCs/>
              </w:rPr>
              <w:t xml:space="preserve">Retention Period:</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Kubernetes configurations and assessment records, will be retained for 3 years for compliance and auditing purposes.</w:t>
            </w:r>
          </w:p>
        </w:tc>
      </w:tr>
      <w:tr w:rsidR="000166B9" w:rsidRPr="00AD159D" w14:paraId="4121E7B6" w14:textId="77777777" w:rsidTr="00D8693A">
        <w:tc>
          <w:tcPr>
            <w:tcW w:w="2518" w:type="dxa"/>
            <w:shd w:val="clear" w:color="auto" w:fill="auto"/>
          </w:tcPr>
          <w:p w14:paraId="7F0EE092" w14:textId="7EAD70D2" w:rsidR="00164258" w:rsidRPr="00BC65BA" w:rsidRDefault="00164258" w:rsidP="00BC65BA">
            <w:pPr>
              <w:rPr>
                <w:rFonts w:ascii="Arial" w:eastAsia="Times New Roman" w:hAnsi="Arial" w:cs="Arial"/>
              </w:rPr>
            </w:pPr>
            <w:r w:rsidRPr="00BC65BA">
              <w:rPr>
                <w:rFonts w:ascii="Arial" w:eastAsia="Times New Roman" w:hAnsi="Arial" w:cs="Arial"/>
              </w:rPr>
              <w:t xml:space="preserve"/>
            </w:r>
          </w:p>
        </w:tc>
        <w:tc>
          <w:tcPr>
            <w:tcW w:w="1985" w:type="dxa"/>
          </w:tcPr>
          <w:p w14:paraId="35A98D9F" w14:textId="77777777" w:rsidR="000166B9" w:rsidRPr="00BC65BA" w:rsidRDefault="000166B9" w:rsidP="00BC65BA">
            <w:pPr>
              <w:rPr>
                <w:rFonts w:ascii="Arial" w:hAnsi="Arial" w:cs="Arial"/>
              </w:rPr>
            </w:pPr>
            <w:r w:rsidRPr="00BC65BA">
              <w:rPr>
                <w:rFonts w:ascii="Arial" w:hAnsi="Arial" w:cs="Arial"/>
              </w:rPr>
              <w:lastRenderedPageBreak/>
              <w:t>1:3 (Min)</w:t>
            </w:r>
          </w:p>
          <w:p w14:paraId="44AAE16E" w14:textId="77777777" w:rsidR="000166B9" w:rsidRPr="00BC65BA" w:rsidRDefault="000166B9" w:rsidP="00BC65BA">
            <w:pPr>
              <w:rPr>
                <w:rFonts w:ascii="Arial" w:hAnsi="Arial" w:cs="Arial"/>
              </w:rPr>
            </w:pPr>
            <w:r w:rsidRPr="00BC65BA">
              <w:rPr>
                <w:rFonts w:ascii="Arial" w:hAnsi="Arial" w:cs="Arial"/>
              </w:rPr>
              <w:t>1:20 (Max)</w:t>
            </w:r>
          </w:p>
          <w:p w14:paraId="63DEAA22" w14:textId="77777777" w:rsidR="000166B9" w:rsidRPr="00BC65BA" w:rsidRDefault="000166B9" w:rsidP="00BC65BA">
            <w:pPr>
              <w:rPr>
                <w:rFonts w:ascii="Arial" w:hAnsi="Arial" w:cs="Arial"/>
              </w:rPr>
            </w:pPr>
          </w:p>
        </w:tc>
        <w:tc>
          <w:tcPr>
            <w:tcW w:w="10068" w:type="dxa"/>
            <w:shd w:val="clear" w:color="auto" w:fill="auto"/>
          </w:tcPr>
          <w:p w14:paraId="7B6719E2" w14:textId="77777777" w:rsidR="00FF6FE3" w:rsidRPr="00BC65BA" w:rsidRDefault="00FF6FE3" w:rsidP="00FF6FE3">
            <w:pPr>
              <w:rPr>
                <w:rFonts w:ascii="Arial" w:hAnsi="Arial" w:cs="Arial"/>
              </w:rPr>
            </w:pPr>
            <w:r w:rsidRPr="00BC65BA">
              <w:rPr>
                <w:rFonts w:ascii="Arial" w:hAnsi="Arial" w:cs="Arial"/>
              </w:rPr>
              <w:t>This is a direct assessment method that will produce the product and knowledge-based evidence</w:t>
            </w:r>
          </w:p>
          <w:p w14:paraId="3A1F7C64" w14:textId="77777777" w:rsidR="00FF6FE3" w:rsidRPr="00BC65BA" w:rsidRDefault="00FF6FE3" w:rsidP="00FF6FE3">
            <w:pPr>
              <w:rPr>
                <w:rFonts w:ascii="Arial" w:hAnsi="Arial" w:cs="Arial"/>
              </w:rPr>
            </w:pPr>
          </w:p>
          <w:p w14:paraId="64F3EE01" w14:textId="77777777" w:rsidR="00FF6FE3" w:rsidRPr="00BC65BA" w:rsidRDefault="00FF6FE3" w:rsidP="00FF6FE3">
            <w:pPr>
              <w:rPr>
                <w:rFonts w:ascii="Arial" w:hAnsi="Arial" w:cs="Arial"/>
              </w:rPr>
            </w:pPr>
            <w:r w:rsidRPr="00BC65BA">
              <w:rPr>
                <w:rFonts w:ascii="Arial" w:hAnsi="Arial" w:cs="Arial"/>
              </w:rPr>
              <w:t xml:space="preserve">Assessors will ask direct questions to </w:t>
            </w:r>
            <w:proofErr w:type="gramStart"/>
            <w:r w:rsidRPr="00BC65BA">
              <w:rPr>
                <w:rFonts w:ascii="Arial" w:hAnsi="Arial" w:cs="Arial"/>
              </w:rPr>
              <w:t xml:space="preserve">learners</w:t>
            </w:r>
            <w:proofErr w:type="gramEnd"/>
            <w:r w:rsidRPr="00BC65BA">
              <w:rPr>
                <w:rFonts w:ascii="Arial" w:hAnsi="Arial" w:cs="Arial"/>
              </w:rPr>
              <w:t xml:space="preserve"> face to face.</w:t>
            </w:r>
          </w:p>
          <w:p w14:paraId="753510F5" w14:textId="77777777" w:rsidR="00EC42E9" w:rsidRPr="00BC65BA" w:rsidRDefault="00EC42E9" w:rsidP="00EC42E9">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753510F5" w14:textId="77777777" w:rsidR="00EC42E9" w:rsidRPr="00BC65BA" w:rsidRDefault="00EC42E9" w:rsidP="00EC42E9">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apply Kubernetes concepts in real-world scenarios. Candidates will complete practical tasks that demonstrate their ability to design, deploy, and manage Kubernetes applications effectively.</w:t>
            </w:r>
          </w:p>
          <w:p w14:paraId="753510F5" w14:textId="77777777" w:rsidR="00EC42E9" w:rsidRPr="00BC65BA" w:rsidRDefault="00EC42E9" w:rsidP="00EC42E9">
            <w:pPr>
              <w:rPr>
                <w:rFonts w:ascii="Arial" w:hAnsi="Arial" w:cs="Arial"/>
                <w:bCs/>
              </w:rPr>
            </w:pPr>
            <w:r w:rsidRPr="00BC65BA">
              <w:rPr>
                <w:rFonts w:ascii="Arial" w:hAnsi="Arial" w:cs="Arial"/>
                <w:bCs/>
              </w:rPr>
              <w:t xml:space="preserve">Type of Evidence:</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LO1: Candidates will create a Kubernetes solution architecture that incorporates various processes and tools.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LO2: Candidates will align technical and functional requirements within a Kubernetes deployment scenario.</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LO3: Candidates will coordinate multiple Kubernetes components to ensure compatibility and meet design goals.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LO4: Candidates will articulate the value of their Kubernetes solutions by addressing coding standards and scalability.</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LO5: Candidates will establish monitoring and testing processes to validate their Kubernetes architectures.</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Manner of Submission:</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Candidates will submit their completed Kubernetes configurations, deployment scripts, and any additional documentation that supports their practical tasks.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This includes annotated screenshots or logs demonstrating the functionality of their Kubernetes applications.</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Marking Process: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Functionality of Kubernetes solutions.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Adherence to best practices.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Quality of documentation and submission.</w:t>
            </w:r>
          </w:p>
          <w:p w14:paraId="753510F5" w14:textId="77777777" w:rsidR="00EC42E9" w:rsidRPr="00BC65BA" w:rsidRDefault="00EC42E9" w:rsidP="00EC42E9">
            <w:pPr>
              <w:rPr>
                <w:rFonts w:ascii="Arial" w:hAnsi="Arial" w:cs="Arial"/>
                <w:bCs/>
              </w:rPr>
            </w:pPr>
            <w:r w:rsidRPr="00BC65BA">
              <w:rPr>
                <w:rFonts w:ascii="Arial" w:hAnsi="Arial" w:cs="Arial"/>
                <w:bCs/>
              </w:rPr>
              <w:t xml:space="preserve">Retention Period:</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All submitted evidence, including Kubernetes configurations and assessment records, will be retained for 3 years for compliance and auditing purposes.</w:t>
            </w:r>
          </w:p>
        </w:tc>
      </w:tr>
      <w:tr w:rsidR="00F16B9D" w:rsidRPr="00AD159D" w14:paraId="2EBE990A" w14:textId="77777777" w:rsidTr="00D8693A">
        <w:tc>
          <w:tcPr>
            <w:tcW w:w="2518" w:type="dxa"/>
            <w:shd w:val="clear" w:color="auto" w:fill="auto"/>
          </w:tcPr>
          <w:p w14:paraId="20608814" w14:textId="77777777" w:rsidR="00F16B9D" w:rsidRPr="00BC65BA" w:rsidRDefault="00F16B9D" w:rsidP="00F16B9D">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450AD710" w14:textId="77777777" w:rsidR="00F16B9D" w:rsidRPr="00BC65BA" w:rsidRDefault="00F16B9D" w:rsidP="00F16B9D">
            <w:pPr>
              <w:rPr>
                <w:rFonts w:ascii="Arial" w:hAnsi="Arial" w:cs="Arial"/>
              </w:rPr>
            </w:pPr>
            <w:r w:rsidRPr="00BC65BA">
              <w:rPr>
                <w:rFonts w:ascii="Arial" w:hAnsi="Arial" w:cs="Arial"/>
              </w:rPr>
              <w:t>1:3 (Min)</w:t>
            </w:r>
          </w:p>
          <w:p w14:paraId="4BE96511" w14:textId="77777777" w:rsidR="00F16B9D" w:rsidRPr="00BC65BA" w:rsidRDefault="00F16B9D" w:rsidP="00F16B9D">
            <w:pPr>
              <w:rPr>
                <w:rFonts w:ascii="Arial" w:hAnsi="Arial" w:cs="Arial"/>
              </w:rPr>
            </w:pPr>
            <w:r w:rsidRPr="00BC65BA">
              <w:rPr>
                <w:rFonts w:ascii="Arial" w:hAnsi="Arial" w:cs="Arial"/>
              </w:rPr>
              <w:t>1:20 (Max)</w:t>
            </w:r>
          </w:p>
          <w:p w14:paraId="4A61A74E" w14:textId="77777777" w:rsidR="00F16B9D" w:rsidRPr="00BC65BA" w:rsidRDefault="00F16B9D" w:rsidP="00F16B9D">
            <w:pPr>
              <w:rPr>
                <w:rFonts w:ascii="Arial" w:hAnsi="Arial" w:cs="Arial"/>
              </w:rPr>
            </w:pPr>
          </w:p>
        </w:tc>
        <w:tc>
          <w:tcPr>
            <w:tcW w:w="10068" w:type="dxa"/>
            <w:shd w:val="clear" w:color="auto" w:fill="auto"/>
          </w:tcPr>
          <w:p w14:paraId="1E9531CA" w14:textId="4D4CCD90" w:rsidR="00F16B9D" w:rsidRPr="00EE7D99" w:rsidRDefault="00A75B3F" w:rsidP="00F16B9D">
            <w:pPr>
              <w:rPr>
                <w:rFonts w:ascii="Arial" w:hAnsi="Arial" w:cs="Arial"/>
                <w:bCs/>
              </w:rPr>
            </w:pPr>
            <w:r w:rsidRPr="005802F5">
              <w:rPr>
                <w:rFonts w:ascii="Arial" w:hAnsi="Arial" w:cs="Arial"/>
                <w:bCs/>
              </w:rPr>
              <w:t xml:space="preserve">Role Play assessments allow learners to demonstrate their ability to apply learned concepts in simulated real-world interactions, focusing on the practical application of</w:t>
            </w:r>
            <w:r>
              <w:rPr>
                <w:rFonts w:ascii="Arial" w:hAnsi="Arial" w:cs="Arial"/>
                <w:bCs/>
              </w:rPr>
              <w:t xml:space="preserve"> sales closure</w:t>
            </w:r>
            <w:r w:rsidRPr="005802F5">
              <w:rPr>
                <w:rFonts w:ascii="Arial" w:hAnsi="Arial" w:cs="Arial"/>
                <w:bCs/>
              </w:rPr>
              <w:t xml:space="preserve"> skills.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The Practical Performance (PP) assessment focuses on providing authentic 'Show Me Application' evidence of candidates' ability to apply Kubernetes concepts in real-world scenarios. Candidates will complete practical tasks that demonstrate their ability to design, deploy, and manage Kubernetes applications effectively.</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Type of Evidence:</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LO1: Candidates will create a Kubernetes solution architecture that incorporates various processes and tools.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LO2: Candidates will align technical and functional requirements within a Kubernetes deployment scenario.</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LO3: Candidates will coordinate multiple Kubernetes components to ensure compatibility and meet design goals.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LO4: Candidates will articulate the value of their Kubernetes solutions by addressing coding standards and scalability.</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LO5: Candidates will establish monitoring and testing processes to validate their Kubernetes architectures.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Manner of Submission:</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Candidates will submit their completed Kubernetes configurations, deployment scripts, and any additional documentation that supports their practical tasks.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This includes annotated screenshots or logs demonstrating the functionality of their Kubernetes applications.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Marking Process: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Functionality of Kubernetes solutions.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Adherence to best practices.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Quality of documentation and submission.</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Retention Period:</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All submitted evidence, including Kubernetes configurations and assessment records, will be retained for 3 years for compliance and auditing purposes.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Practical Performance (PP)</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61481969" w14:textId="77777777" w:rsidTr="005D616F">
        <w:trPr>
          <w:trHeight w:val="88"/>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14:paraId="4F46917C" w14:textId="032E2D40" w:rsidR="00CB29E0" w:rsidRPr="006035D8" w:rsidRDefault="00CB29E0" w:rsidP="00BD30E7">
            <w:pPr>
              <w:autoSpaceDE w:val="0"/>
              <w:spacing w:before="120" w:after="120"/>
              <w:ind w:left="142" w:right="142"/>
              <w:jc w:val="both"/>
              <w:rPr>
                <w:rFonts w:ascii="Arial" w:hAnsi="Arial" w:cs="Arial"/>
              </w:rPr>
            </w:pP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08C20388" w14:textId="14219643" w:rsidTr="00BD30E7">
        <w:trPr>
          <w:trHeight w:val="58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tcPr>
          <w:p w14:paraId="279EB57A" w14:textId="77777777" w:rsidR="00A629E1" w:rsidRDefault="00A629E1" w:rsidP="00A629E1">
            <w:pPr>
              <w:pStyle w:val="ListParagraph"/>
              <w:tabs>
                <w:tab w:val="left" w:pos="2106"/>
                <w:tab w:val="left" w:pos="2758"/>
              </w:tabs>
              <w:spacing w:before="120" w:after="120"/>
              <w:ind w:left="146" w:right="193"/>
              <w:jc w:val="both"/>
              <w:rPr>
                <w:rFonts w:ascii="Arial" w:hAnsi="Arial" w:cs="Arial"/>
              </w:rPr>
            </w:pPr>
          </w:p>
        </w:tc>
        <w:tc>
          <w:tcPr>
            <w:tcW w:w="255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0EA4CB8F" w14:textId="441868A0" w:rsidR="00A629E1" w:rsidRPr="00F071F1" w:rsidRDefault="00A629E1" w:rsidP="00F071F1">
            <w:pPr>
              <w:pStyle w:val="ListParagraph"/>
              <w:tabs>
                <w:tab w:val="left" w:pos="2106"/>
                <w:tab w:val="left" w:pos="2758"/>
              </w:tabs>
              <w:spacing w:before="120" w:after="120"/>
              <w:ind w:left="3" w:right="193"/>
              <w:jc w:val="center"/>
              <w:rPr>
                <w:rFonts w:ascii="Arial" w:hAnsi="Arial" w:cs="Arial"/>
                <w:b/>
                <w:bCs/>
              </w:rPr>
            </w:pPr>
            <w:r w:rsidRPr="00F071F1">
              <w:rPr>
                <w:rFonts w:ascii="Arial" w:hAnsi="Arial" w:cs="Arial"/>
                <w:b/>
                <w:bCs/>
              </w:rPr>
              <w:t>Name</w:t>
            </w:r>
            <w:r>
              <w:rPr>
                <w:rFonts w:ascii="Arial" w:hAnsi="Arial" w:cs="Arial"/>
                <w:b/>
                <w:bCs/>
              </w:rPr>
              <w:t xml:space="preserve"> of Officer</w:t>
            </w:r>
          </w:p>
        </w:tc>
        <w:tc>
          <w:tcPr>
            <w:tcW w:w="170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6321F64D" w14:textId="1B9D3D6A" w:rsidR="00A629E1" w:rsidRPr="00F071F1" w:rsidRDefault="00A629E1" w:rsidP="00F071F1">
            <w:pPr>
              <w:pStyle w:val="ListParagraph"/>
              <w:tabs>
                <w:tab w:val="left" w:pos="2106"/>
                <w:tab w:val="left" w:pos="2758"/>
              </w:tabs>
              <w:spacing w:before="120" w:after="120"/>
              <w:ind w:left="14"/>
              <w:jc w:val="center"/>
              <w:rPr>
                <w:rFonts w:ascii="Arial" w:hAnsi="Arial" w:cs="Arial"/>
                <w:b/>
                <w:bCs/>
              </w:rPr>
            </w:pPr>
            <w:r w:rsidRPr="00F071F1">
              <w:rPr>
                <w:rFonts w:ascii="Arial" w:hAnsi="Arial" w:cs="Arial"/>
                <w:b/>
                <w:bCs/>
              </w:rPr>
              <w:t>Designation</w:t>
            </w:r>
          </w:p>
        </w:tc>
        <w:tc>
          <w:tcPr>
            <w:tcW w:w="1843"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28F2E182" w14:textId="49E00B61" w:rsidR="00A629E1" w:rsidRPr="00F071F1" w:rsidRDefault="00A629E1" w:rsidP="00F071F1">
            <w:pPr>
              <w:pStyle w:val="ListParagraph"/>
              <w:tabs>
                <w:tab w:val="left" w:pos="2106"/>
                <w:tab w:val="left" w:pos="2758"/>
              </w:tabs>
              <w:spacing w:before="120" w:after="120"/>
              <w:ind w:left="65"/>
              <w:jc w:val="center"/>
              <w:rPr>
                <w:rFonts w:ascii="Arial" w:hAnsi="Arial" w:cs="Arial"/>
                <w:b/>
                <w:bCs/>
              </w:rPr>
            </w:pPr>
            <w:r w:rsidRPr="00F071F1">
              <w:rPr>
                <w:rFonts w:ascii="Arial" w:hAnsi="Arial" w:cs="Arial"/>
                <w:b/>
                <w:bCs/>
              </w:rPr>
              <w:t>Division</w:t>
            </w:r>
          </w:p>
        </w:tc>
        <w:tc>
          <w:tcPr>
            <w:tcW w:w="1547" w:type="dxa"/>
            <w:tcBorders>
              <w:top w:val="single" w:sz="4" w:space="0" w:color="000000"/>
              <w:left w:val="single" w:sz="4" w:space="0" w:color="auto"/>
              <w:bottom w:val="single" w:sz="4" w:space="0" w:color="000000"/>
              <w:right w:val="single" w:sz="4" w:space="0" w:color="000000"/>
            </w:tcBorders>
            <w:shd w:val="clear" w:color="auto" w:fill="DEEAF6" w:themeFill="accent1" w:themeFillTint="33"/>
            <w:vAlign w:val="center"/>
          </w:tcPr>
          <w:p w14:paraId="678E3FEF" w14:textId="17608729" w:rsidR="00A629E1" w:rsidRPr="00F071F1" w:rsidRDefault="00A629E1" w:rsidP="00F071F1">
            <w:pPr>
              <w:pStyle w:val="ListParagraph"/>
              <w:tabs>
                <w:tab w:val="left" w:pos="1978"/>
                <w:tab w:val="left" w:pos="2758"/>
              </w:tabs>
              <w:spacing w:before="120" w:after="120"/>
              <w:ind w:left="28" w:right="193"/>
              <w:jc w:val="center"/>
              <w:rPr>
                <w:rFonts w:ascii="Arial" w:hAnsi="Arial" w:cs="Arial"/>
                <w:b/>
                <w:bCs/>
              </w:rPr>
            </w:pPr>
            <w:r w:rsidRPr="00F071F1">
              <w:rPr>
                <w:rFonts w:ascii="Arial" w:hAnsi="Arial" w:cs="Arial"/>
                <w:b/>
                <w:bCs/>
              </w:rPr>
              <w:t>Date</w:t>
            </w:r>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