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Creating Stunning Digital Graphics with Canva</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Creating Stunning Digital Graphics with Canva according to Visual Communication DSN-COM-4005-1.1 under Design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In the current landscape, many professionals struggle with effectively integrating typography and media elements in their designs. This often leads to visual communication that fails to engage the audience or convey the intended message. Additionally, there is a noticeable lack of understanding of best practices in design, which can result in inconsistent and unappealing outputs that do not meet industry standards.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offers a comprehensive approach to visual communication, equipping participants with the skills to blend typography and media effectively. By focusing on practical design techniques and encouraging exploration, it prepares learners to create compelling visuals that resonate with their target audience.</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13 February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