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w:t>
            </w:r>
            <w:proofErr w:type="spellStart"/>
            <w:r w:rsidRPr="00236098">
              <w:rPr>
                <w:rFonts w:ascii="Arial" w:hAnsi="Arial" w:cs="Arial"/>
                <w:b/>
                <w:sz w:val="18"/>
                <w:szCs w:val="18"/>
              </w:rPr>
              <w:t>SFw</w:t>
            </w:r>
            <w:proofErr w:type="spellEnd"/>
            <w:r w:rsidRPr="00236098">
              <w:rPr>
                <w:rFonts w:ascii="Arial" w:hAnsi="Arial" w:cs="Arial"/>
                <w:b/>
                <w:sz w:val="18"/>
                <w:szCs w:val="18"/>
              </w:rPr>
              <w:t>)</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 xml:space="preserve">Contents are PARTIALLY mapped to </w:t>
            </w:r>
            <w:proofErr w:type="spellStart"/>
            <w:r w:rsidRPr="00236098">
              <w:rPr>
                <w:rFonts w:ascii="Arial" w:hAnsi="Arial" w:cs="Arial"/>
                <w:b/>
                <w:bCs/>
                <w:sz w:val="18"/>
                <w:szCs w:val="18"/>
              </w:rPr>
              <w:t>SFw</w:t>
            </w:r>
            <w:proofErr w:type="spellEnd"/>
            <w:r w:rsidRPr="00236098">
              <w:rPr>
                <w:rFonts w:ascii="Arial" w:hAnsi="Arial" w:cs="Arial"/>
                <w:b/>
                <w:bCs/>
                <w:sz w:val="18"/>
                <w:szCs w:val="18"/>
              </w:rPr>
              <w:t xml:space="preserve"> due to transition arrangement or review of </w:t>
            </w:r>
            <w:proofErr w:type="spellStart"/>
            <w:r w:rsidRPr="00236098">
              <w:rPr>
                <w:rFonts w:ascii="Arial" w:hAnsi="Arial" w:cs="Arial"/>
                <w:b/>
                <w:bCs/>
                <w:sz w:val="18"/>
                <w:szCs w:val="18"/>
              </w:rPr>
              <w:t>SFw</w:t>
            </w:r>
            <w:proofErr w:type="spellEnd"/>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Tertiary Infotech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Certified Kubernetes Application Developer (CKAD) Training</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Solution Architecture</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ICT-DES-5006-1.1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15</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15 hrs hrs</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32</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Infocomm Technology sector faces significant challenges in managing and deploying applications efficiently and securely at scale. Kubernetes, as a container orchestration platform, offers solutions to many of these challenges, but its complexity often leads to performance gaps. One major challenge is the skills gap among IT professionals. Many organizations struggle to find or develop personnel with the necessary expertise to design, deploy, and manage Kubernetes-based applications effectively. This shortage results in suboptimal implementations, increased risk of security vulnerabilities, and difficulty in achieving the full potential of Kubernetes. Furthermore, the rapid evolution of the Kubernetes ecosystem, with frequent updates and new tools, requires continuous learning and adaptation, placing a strain on existing IT teams. Lack of standardized practices and architectural frameworks for Kubernetes deployments also contributes to inconsistencies and difficulties in maintaining and scaling applications. Teams often lack a cohesive strategy for defining application architecture, leading to ad-hoc solutions that are difficult to manage and integrate. The absence of robust monitoring and troubleshooting skills leads to prolonged downtime and difficulty in identifying and resolving issues within the Kubernetes environment, impacting overall application performance and availability. Security considerations are often overlooked or inadequately addressed, creating vulnerabilities that can be exploited. The complexities of configuring networking policies and managing access control within Kubernetes environments demand specialized knowledge that is often lacking. Finally, optimizing resource utilization within Kubernetes clusters is a persistent challenge. Inefficient allocation of resources leads to increased infrastructure costs and reduced application performance. Organizations often struggle to effectively manage resource requests, limits, and quotas, resulting in either underutilization or over-provisioning of resources. All these factors contribute to performance gaps and hinder the effective adoption of Kubernetes in the Infocomm Technology sector.</w:t>
              <w:br/>
              <w:t xml:space="preserve"/>
              <w:br/>
              <w:t xml:space="preserve">To address these performance gaps, targeted training is crucial in several key areas. First, comprehensive training on Kubernetes architecture and best practices is essential for building a strong foundation. This should include hands-on experience in designing and implementing Kubernetes solutions, covering topics such as pod design patterns, deployment strategies, and resource management. Second, training on security best practices is vital to mitigate potential vulnerabilities. This should cover topics such as authentication, authorization, network policies, and security contexts, enabling IT professionals to build and maintain secure Kubernetes environments. Third, in-depth training on monitoring and troubleshooting is necessary for ensuring application availability and performance. This should include hands-on experience with tools for monitoring Kubernetes clusters, analyzing logs, and debugging applications. Fourth, training on infrastructure-as-code and automation tools, such as Helm and Kustomize, is crucial for streamlining deployment processes and ensuring consistency across environments. This will help IT professionals to automate the deployment and management of Kubernetes applications, reducing manual effort and minimizing errors. Fifth, training on advanced Kubernetes concepts, such as Custom Resource Definitions (CRDs) and Operators, can enable organizations to extend Kubernetes functionality and automate complex tasks. This will empower IT professionals to build custom solutions tailored to their specific needs. Finally, continuous learning and adaptation are essential in the rapidly evolving Kubernetes ecosystem. Organizations should invest in ongoing training and development to ensure that their IT professionals stay up-to-date with the latest trends and technologies. This could include attending conferences, participating in online courses, and obtaining relevant certifications. By providing targeted training in these key areas, organizations can equip their IT professionals with the skills and knowledge necessary to effectively design, deploy, and manage Kubernetes-based applications, bridging the performance gaps and realizing the full potential of Kubernetes.</w:t>
              <w:br/>
              <w:t xml:space="preserve"/>
              <w:br/>
              <w:t xml:space="preserve">Several job roles within the Infocomm Technology sector would significantly benefit from comprehensive training. Software Developers, particularly those working on cloud-native applications, would gain valuable skills in designing and building applications that are optimized for Kubernetes. This includes understanding containerization, microservices architecture, and Kubernetes deployment strategies. DevOps Engineers would benefit from training on automating the deployment, management, and scaling of Kubernetes clusters. This includes hands-on experience with tools like Helm, Kustomize, and infrastructure-as-code frameworks. System Administrators would enhance their ability to manage and maintain Kubernetes infrastructure, including monitoring, troubleshooting, and security hardening. This training will equip them with the knowledge and skills to ensure the availability and performance of Kubernetes clusters. Solution Architects would gain the ability to design and implement Kubernetes-based solutions that meet specific business requirements. This includes understanding the different Kubernetes components and how they can be combined to build scalable and resilient applications. Security Engineers would benefit from training on Kubernetes security best practices, enabling them to identify and mitigate potential vulnerabilities. This includes understanding authentication, authorization, network policies, and security contexts. Cloud Engineers would enhance their expertise in deploying and managing Kubernetes clusters on various cloud platforms. This includes understanding the different cloud-specific Kubernetes offerings and how to optimize Kubernetes deployments for cost and performance. Ultimately, any IT professional involved in the design, development, deployment, or management of applications in a cloud-native environment would benefit from a deep understanding of Kubernetes. The training will empower these individuals to leverage Kubernetes effectively, improve application performance, enhance security, and reduce operational costs. Furthermore, organizations that invest in training their workforce in Kubernetes will gain a competitive advantage by accelerating their adoption of cloud-native technologies and improving their ability to innovate.</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establishing a well-defined structure for Kubernetes solutions, often leading to disorganized and inefficient deployments.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often struggle to properly align technical, functional, and service requirements within Kubernetes-based solution architectures, leading to misaligned objectives and unmet needs.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often lack the skills to effectively coordinate multiple Kubernetes solution components, leading to compatibility issues and failures in achieving design goals.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to articulate the value of Kubernetes solutions by addressing crucial aspects such as coding standards, scalability, and reusability, hindering the adoption and understanding of its benefits.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are unclear about the processes and tools used to monitor and test Kubernetes architectures against business requirements, often resulting in undetected issues and unmet business needs.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establish robust high-level structures and frameworks for Kubernetes solutions, ensuring organized and efficient deployments using appropriate processes and tools.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aligning technical, functional, and service requirements within Kubernetes-based solution architectures, ensuring cohesive and effective solutions.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coordinate multiple Kubernetes solution components to ensure compatibility and meet design framework goals, resulting in seamless integration and functionality.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articulate the value of Kubernetes solutions by addressing coding standards, scalability, and reusability, promoting better understanding and adoption.</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establish monitoring and testing processes to validate Kubernetes architectures against business requirements, ensuring continuous alignment and optimal performance.</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efficiency in Kubernetes deployments through structured frameworks, leading to faster development cycles and better resource utilization.</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alignment of IT solutions with business needs, resulting in higher user satisfaction and better return on investment.</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Reduced integration issues and improved overall system performance, leading to more reliable and stable Kubernetes solutions.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Increased adoption of Kubernetes solutions through clear articulation of its benefits, leading to improved team collaboration and strategic decision-making.</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Proactive identification and resolution of issues, leading to more reliable Kubernetes architectures and better alignment with business requirements.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a step-by-step sequencing is employed to scaffold learners' comprehension and application of Kubernetes concepts. This methodology is crucial as it systematically breaks down the intricate facets of containerization, deployment strategies, monitoring, configuration, security, and networking within Kubernetes into digestible units. This aids in gradually building learners' knowledge and skills from fundamental to more complex concepts, ensuring a solid foundation before advancing to the next topic. The progression is designed to foster a deeper understanding and the ability to effectively apply the learned concepts in real-world scenarios.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Container Image Management</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Establish high-level structures and frameworks for Kubernetes solutions using appropriate processes and tools.</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Deployment Strategy Implementation</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Align technical, functional, and service requirements within Kubernetes-based solution architectures.</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Kubernetes Application Monitoring</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Coordinate multiple Kubernetes solution components to ensure compatibility and meet design framework goals.</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LU4: Kubernetes Configuration and Security</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LO4: Articulate the value of Kubernetes solutions by addressing coding standards, scalability, and reusability.</w:t>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LU5: Application Access and Troubleshooting</w:t>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LO5: Establish monitoring and testing processes to validate Kubernetes architectures against business requirements.</w:t>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Container Image Management</w:t>
            </w:r>
          </w:p>
          <w:p w14:paraId="05597094" w14:textId="0E77B0A2" w:rsidR="00C12807" w:rsidRDefault="00C12807" w:rsidP="00AA2A50">
            <w:pPr>
              <w:rPr>
                <w:rFonts w:ascii="Arial" w:hAnsi="Arial" w:cs="Arial"/>
              </w:rPr>
            </w:pPr>
            <w:r w:rsidRPr="0044744A">
              <w:rPr>
                <w:rFonts w:ascii="Arial" w:hAnsi="Arial" w:cs="Arial"/>
              </w:rPr>
              <w:t xml:space="preserve">LU1 lays the foundational knowledge by introducing learners to container image management, including defining, building, and modifying container images. The facilitator will guide learners through choosing the right workload resources, understanding multi-container Pod design patterns, and utilizing persistent and ephemeral volumes. This unit sets the stage for understanding how applications are packaged and prepared for deployment in Kubernetes, aligning with LO1 (Establish high-level structures and frameworks).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Deployment Strategy Implementation</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of container images, LU2 dives into the practical aspects of deploying applications using Kubernetes primitives. Learners will be led through exercises to implement common deployment strategies, understand Deployments and rolling updates, and use Helm and Kustomize for package management and configuration. This unit enhances learners' ability to deploy and manage applications efficiently, addressing LO2 (Align technical, functional, and service requirements).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Kubernetes Application Monitoring</w:t>
            </w:r>
          </w:p>
          <w:p w14:paraId="05597094" w14:textId="0E77B0A2" w:rsidR="00C12807" w:rsidRDefault="00C12807" w:rsidP="00AA2A50">
            <w:pPr>
              <w:rPr>
                <w:rFonts w:ascii="Arial" w:hAnsi="Arial" w:cs="Arial"/>
              </w:rPr>
            </w:pPr>
            <w:r w:rsidRPr="0044744A">
              <w:rPr>
                <w:rFonts w:ascii="Arial" w:hAnsi="Arial" w:cs="Arial"/>
              </w:rPr>
              <w:t xml:space="preserve">LU3 escalates to a higher level of complexity where learners delve into application observability and maintenance. Under the guidance of the facilitator, learners will engage in implementing probes and health checks, using built-in CLI tools to monitor applications, utilizing container logs, and debugging in Kubernetes. This unit ensures that learners can maintain and troubleshoot deployed applications effectively, aligning with LO5 (Establish monitoring and testing processes).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LU4: Kubernetes Configuration and Security</w:t>
            </w:r>
          </w:p>
          <w:p w14:paraId="05597094" w14:textId="0E77B0A2" w:rsidR="00C12807" w:rsidRDefault="00C12807" w:rsidP="00AA2A50">
            <w:pPr>
              <w:rPr>
                <w:rFonts w:ascii="Arial" w:hAnsi="Arial" w:cs="Arial"/>
              </w:rPr>
            </w:pPr>
            <w:r w:rsidRPr="0044744A">
              <w:rPr>
                <w:rFonts w:ascii="Arial" w:hAnsi="Arial" w:cs="Arial"/>
              </w:rPr>
              <w:t xml:space="preserve">LU4 focuses on securing and configuring Kubernetes applications. Learners will discover and use resources that extend Kubernetes, understand authentication, authorization, admission control, resource requests, limits, quotas, ConfigMaps, Secrets, ServiceAccounts, and application security contexts. This comprehensive unit equips learners with the skills to configure and secure their applications, aligning with LO4 (Articulate the value of Kubernetes solutions by addressing coding standards, scalability, and reusability).</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LU5: Application Access and Troubleshooting</w:t>
            </w:r>
          </w:p>
          <w:p w14:paraId="05597094" w14:textId="0E77B0A2" w:rsidR="00C12807" w:rsidRDefault="00C12807" w:rsidP="00AA2A50">
            <w:pPr>
              <w:rPr>
                <w:rFonts w:ascii="Arial" w:hAnsi="Arial" w:cs="Arial"/>
              </w:rPr>
            </w:pPr>
            <w:r w:rsidRPr="0044744A">
              <w:rPr>
                <w:rFonts w:ascii="Arial" w:hAnsi="Arial" w:cs="Arial"/>
              </w:rPr>
              <w:t xml:space="preserve">LU5 integrates networking concepts and troubleshooting techniques. Learners will demonstrate basic understanding of NetworkPolicies, provide and troubleshoot access to applications via services, and use Ingress rules to expose applications. The synthesis of previous knowledge with networking and access management in this unit culminates in a comprehensive understanding of how to expose and manage applications, aligning with LO3 (Coordinate multiple Kubernetes solution components).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Infocomm Technology industry while equipping learners with the necessary attributes to excel in their roles as Kubernetes Application Developers.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Container Image Management</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Application Design and Build (K1, K2, A1, A2)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Define, build and modify container images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Choose and use the right workload resource (Deployment, DaemonSet, CronJob, etc.)</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Understand multi-container Pod design patterns (e.g. sidecar, init and others)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Utilize persistent and ephemeral volumes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Establish high-level structures and frameworks for Kubernetes solutions using appropriate processes and tools.</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 Process for refining solution architecture</w:t>
            </w:r>
          </w:p>
          <w:p w14:paraId="42521D6C" w14:textId="7D5813F7" w:rsidR="00EE4DD6" w:rsidRPr="00AA2A50" w:rsidRDefault="00EE4DD6" w:rsidP="00AA2A50">
            <w:pPr>
              <w:rPr>
                <w:rFonts w:ascii="Arial" w:hAnsi="Arial" w:cs="Arial"/>
                <w:bCs/>
              </w:rPr>
            </w:pPr>
            <w:r w:rsidRPr="00AA2A50">
              <w:rPr>
                <w:rFonts w:ascii="Arial" w:hAnsi="Arial" w:cs="Arial"/>
                <w:bCs/>
              </w:rPr>
              <w:t xml:space="preserve">K2: Applications of tools and modelling techniques for creation of solution architecture</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Establish high level structures and frameworks to guide the development of IT solutions incorporating various processes, hardware and software components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A2: Determine relevant design tools or modelling techniques required to develop a solution architecture and blueprint</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Deployment Strategy Implementation</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Application Deployment (K3, A3)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Use Kubernetes primitives to implement common deployment strategies (e.g. blue/green or canary)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Deployments and how to perform rolling updates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Use the Helm package manager to deploy existing packages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Kustomize</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Align technical, functional, and service requirements within Kubernetes-based solution architectures.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K3: Technical, functional and service considerations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A3: Align requirements of various internal and external stakeholders, as well as technical, functional and service requirements within a solution architecture</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Kubernetes Application Monitoring</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3: Application Observability and Maintenance (K4, K6, A4)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Understand API deprecations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Implement probes and health checks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Use built-in CLI tools to monitor Kubernetes applications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Utilize container logs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Debugging in Kubernetes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Coordinate multiple Kubernetes solution components to ensure compatibility and meet design framework goals.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K4: Considerations for multiple aspects of the overall solution including performance, security, latency and other relevant aspect for the solution</w:t>
            </w:r>
          </w:p>
          <w:p w14:paraId="5A250EA9" w14:textId="77777777" w:rsidR="00CE5F9B" w:rsidRPr="00AA2A50" w:rsidRDefault="00CE5F9B" w:rsidP="00AA2A50">
            <w:pPr>
              <w:rPr>
                <w:rFonts w:ascii="Arial" w:hAnsi="Arial" w:cs="Arial"/>
                <w:bCs/>
              </w:rPr>
            </w:pPr>
            <w:r w:rsidRPr="00AA2A50">
              <w:rPr>
                <w:rFonts w:ascii="Arial" w:hAnsi="Arial" w:cs="Arial"/>
                <w:bCs/>
              </w:rPr>
              <w:t xml:space="preserve">K6: Compatibility among multiple solution architecture components and design activities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A4: Coordinate multiple solution architecture components and design activities, ensuring consistency and compatibility within a target framework</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LU4: Kubernetes Configuration and Security</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1F3F33C2" w14:textId="77777777" w:rsidR="00CE5F9B" w:rsidRPr="00AA2A50" w:rsidRDefault="00CE5F9B" w:rsidP="00AA2A50">
            <w:pPr>
              <w:rPr>
                <w:rFonts w:ascii="Arial" w:hAnsi="Arial" w:cs="Arial"/>
                <w:b/>
              </w:rPr>
            </w:pPr>
            <w:r w:rsidRPr="00AA2A50">
              <w:rPr>
                <w:rFonts w:ascii="Arial" w:hAnsi="Arial" w:cs="Arial"/>
                <w:b/>
              </w:rPr>
              <w:t xml:space="preserve">Topic 4: Application Environment, Configuration and Security (K5, A5)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Discover and use resources that extend Kubernetes (CRD, Operators)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authentication, authorization and admission control</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requests, limits, quotas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ConfigMaps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Define resource requirements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Create &amp; consume Secrets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ServiceAccounts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Application Security (SecurityContexts, Capabilities, etc.)</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6CCAA853" w14:textId="77777777" w:rsidR="00CE5F9B" w:rsidRPr="00AA2A50" w:rsidRDefault="00CE5F9B" w:rsidP="00AA2A50">
            <w:pPr>
              <w:rPr>
                <w:rFonts w:ascii="Arial" w:hAnsi="Arial" w:cs="Arial"/>
                <w:bCs/>
              </w:rPr>
            </w:pPr>
            <w:r w:rsidRPr="00AA2A50">
              <w:rPr>
                <w:rFonts w:ascii="Arial" w:hAnsi="Arial" w:cs="Arial"/>
                <w:bCs/>
              </w:rPr>
              <w:t xml:space="preserve">LO4 – Articulate the value of Kubernetes solutions by addressing coding standards, scalability, and reusability.</w:t>
            </w:r>
          </w:p>
          <w:p w14:paraId="198B9EEA" w14:textId="77777777" w:rsidR="00CE5F9B" w:rsidRPr="00AA2A50" w:rsidRDefault="00CE5F9B" w:rsidP="00AA2A50">
            <w:pPr>
              <w:rPr>
                <w:rFonts w:ascii="Arial" w:hAnsi="Arial" w:cs="Arial"/>
                <w:bCs/>
              </w:rPr>
            </w:pPr>
            <w:r w:rsidRPr="00AA2A50">
              <w:rPr>
                <w:rFonts w:ascii="Arial" w:hAnsi="Arial" w:cs="Arial"/>
                <w:bCs/>
              </w:rPr>
              <w:t xml:space="preserve"> </w:t>
            </w:r>
          </w:p>
          <w:p w14:paraId="6CCAA853" w14:textId="77777777" w:rsidR="00CE5F9B" w:rsidRPr="00AA2A50" w:rsidRDefault="00CE5F9B" w:rsidP="00AA2A50">
            <w:pPr>
              <w:rPr>
                <w:rFonts w:ascii="Arial" w:hAnsi="Arial" w:cs="Arial"/>
                <w:bCs/>
              </w:rPr>
            </w:pPr>
            <w:r w:rsidRPr="00AA2A50">
              <w:rPr>
                <w:rFonts w:ascii="Arial" w:hAnsi="Arial" w:cs="Arial"/>
                <w:bCs/>
              </w:rPr>
              <w:t xml:space="preserve">K5: Standards for coding, scalability, integration and reusability</w:t>
            </w:r>
          </w:p>
          <w:p w14:paraId="6CCAA853" w14:textId="77777777" w:rsidR="00CE5F9B" w:rsidRPr="00AA2A50" w:rsidRDefault="00CE5F9B" w:rsidP="00AA2A50">
            <w:pPr>
              <w:rPr>
                <w:rFonts w:ascii="Arial" w:hAnsi="Arial" w:cs="Arial"/>
                <w:bCs/>
              </w:rPr>
            </w:pPr>
            <w:r w:rsidRPr="00AA2A50">
              <w:rPr>
                <w:rFonts w:ascii="Arial" w:hAnsi="Arial" w:cs="Arial"/>
                <w:bCs/>
              </w:rPr>
              <w:t xml:space="preserve">A5: Articulate value added by the solution to the business needs</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LU5: Application Access and Troubleshooting</w:t>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DBB5106" w14:textId="77777777" w:rsidR="00CE5F9B" w:rsidRPr="00AA2A50" w:rsidRDefault="00CE5F9B" w:rsidP="00AA2A50">
            <w:pPr>
              <w:rPr>
                <w:rFonts w:ascii="Arial" w:hAnsi="Arial" w:cs="Arial"/>
                <w:b/>
              </w:rPr>
            </w:pPr>
            <w:r w:rsidRPr="00AA2A50">
              <w:rPr>
                <w:rFonts w:ascii="Arial" w:hAnsi="Arial" w:cs="Arial"/>
                <w:b/>
              </w:rPr>
              <w:t xml:space="preserve">Topic 5: Services and Networking (K7, A6)  </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Demonstrate basic understanding of NetworkPolicies</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Provide and troubleshoot access to applications via services</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Use Ingress rules to expose applications</w:t>
            </w:r>
          </w:p>
          <w:p w14:paraId="446C955C" w14:textId="77777777" w:rsidR="00CE5F9B" w:rsidRPr="00AA2A50" w:rsidRDefault="00CE5F9B" w:rsidP="00AA2A50">
            <w:pPr>
              <w:rPr>
                <w:rFonts w:ascii="Arial" w:hAnsi="Arial" w:cs="Arial"/>
                <w:bCs/>
              </w:rPr>
            </w:pPr>
            <w:r w:rsidRPr="00AA2A50">
              <w:rPr>
                <w:rFonts w:ascii="Arial" w:hAnsi="Arial" w:cs="Arial"/>
                <w:bCs/>
              </w:rPr>
              <w:t xml:space="preserve"/>
            </w:r>
          </w:p>
          <w:p w14:paraId="60B2EDC7" w14:textId="77777777" w:rsidR="00CE5F9B" w:rsidRPr="00AA2A50" w:rsidRDefault="00CE5F9B" w:rsidP="00AA2A50">
            <w:pPr>
              <w:rPr>
                <w:rFonts w:ascii="Arial" w:hAnsi="Arial" w:cs="Arial"/>
                <w:bCs/>
              </w:rPr>
            </w:pPr>
            <w:r w:rsidRPr="00AA2A50">
              <w:rPr>
                <w:rFonts w:ascii="Arial" w:hAnsi="Arial" w:cs="Arial"/>
                <w:bCs/>
              </w:rPr>
              <w:t xml:space="preserve">LO5 – Establish monitoring and testing processes to validate Kubernetes architectures against business requirements.</w:t>
            </w:r>
          </w:p>
          <w:p w14:paraId="2B7AADE4" w14:textId="77777777" w:rsidR="00CE5F9B" w:rsidRPr="00AA2A50" w:rsidRDefault="00CE5F9B" w:rsidP="00AA2A50">
            <w:pPr>
              <w:rPr>
                <w:rFonts w:ascii="Arial" w:hAnsi="Arial" w:cs="Arial"/>
                <w:bCs/>
              </w:rPr>
            </w:pPr>
            <w:r w:rsidRPr="00AA2A50">
              <w:rPr>
                <w:rFonts w:ascii="Arial" w:hAnsi="Arial" w:cs="Arial"/>
                <w:bCs/>
              </w:rPr>
              <w:t xml:space="preserve"> </w:t>
            </w:r>
          </w:p>
          <w:p w14:paraId="60B2EDC7" w14:textId="77777777" w:rsidR="00CE5F9B" w:rsidRPr="00AA2A50" w:rsidRDefault="00CE5F9B" w:rsidP="00AA2A50">
            <w:pPr>
              <w:rPr>
                <w:rFonts w:ascii="Arial" w:hAnsi="Arial" w:cs="Arial"/>
                <w:bCs/>
              </w:rPr>
            </w:pPr>
            <w:r w:rsidRPr="00AA2A50">
              <w:rPr>
                <w:rFonts w:ascii="Arial" w:hAnsi="Arial" w:cs="Arial"/>
                <w:bCs/>
              </w:rPr>
              <w:t xml:space="preserve">K7: Techniques to measure a solution's value-add</w:t>
            </w:r>
          </w:p>
          <w:p w14:paraId="60B2EDC7" w14:textId="77777777" w:rsidR="00CE5F9B" w:rsidRPr="00AA2A50" w:rsidRDefault="00CE5F9B" w:rsidP="00AA2A50">
            <w:pPr>
              <w:rPr>
                <w:rFonts w:ascii="Arial" w:hAnsi="Arial" w:cs="Arial"/>
                <w:bCs/>
              </w:rPr>
            </w:pPr>
            <w:r w:rsidRPr="00AA2A50">
              <w:rPr>
                <w:rFonts w:ascii="Arial" w:hAnsi="Arial" w:cs="Arial"/>
                <w:bCs/>
              </w:rPr>
              <w:t xml:space="preserve">A6: Establish processes to regularly monitor, test and review solution architecture against business requirements</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Container Image Management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Establish high-level structures and frameworks for Kubernetes solutions using appropriate processes and tools.</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K1, K2, A1,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K2</w:t>
              <w:br/>
              <w:t xml:space="preserve"/>
              <w:br/>
              <w:t xml:space="preserve">Practical Performance (PP) – A1,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Classroom</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Deployment Strategy Implementation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Align technical, functional, and service requirements within Kubernetes-based solution architectures.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K3,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K3</w:t>
              <w:br/>
              <w:t xml:space="preserve"/>
              <w:br/>
              <w:t xml:space="preserve">Practical Performance (PP) –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Kubernetes Application Monitoring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Coordinate multiple Kubernetes solution components to ensure compatibility and meet design framework goals.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K4, K6, A4</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K4, K6</w:t>
              <w:br/>
              <w:t xml:space="preserve"/>
              <w:br/>
              <w:t xml:space="preserve">Practical Performance (PP) – A4</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LU4: Kubernetes Configuration and Security</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LO4: Articulate the value of Kubernetes solutions by addressing coding standards, scalability, and reusability.</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K5, A5</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K5</w:t>
              <w:br/>
              <w:t xml:space="preserve"/>
              <w:br/>
              <w:t xml:space="preserve">Practical Performance (PP) – A5</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B64062" w14:textId="06AC72ED" w:rsidR="00865B7E" w:rsidRPr="009A6481" w:rsidRDefault="00865B7E" w:rsidP="009A6481">
            <w:pPr>
              <w:spacing w:after="0" w:line="240" w:lineRule="auto"/>
              <w:rPr>
                <w:rFonts w:ascii="Arial" w:hAnsi="Arial" w:cs="Arial"/>
                <w:i/>
              </w:rPr>
            </w:pPr>
            <w:r w:rsidRPr="009A6481">
              <w:rPr>
                <w:rFonts w:ascii="Arial" w:hAnsi="Arial" w:cs="Arial"/>
                <w:i/>
              </w:rPr>
              <w:t xml:space="preserve">    5</w:t>
            </w:r>
          </w:p>
          <w:p w14:paraId="386C46B6" w14:textId="34D0CB77"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LU5: Application Access and Troubleshooting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LO5: Establish monitoring and testing processes to validate Kubernetes architectures against business requirements.</w:t>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K7, A6</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K7</w:t>
              <w:br/>
              <w:t xml:space="preserve"/>
              <w:br/>
              <w:t xml:space="preserve">Practical Performance (PP) – A6</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PP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15</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Practical</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xml:space="preserve"/>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3D1EAC40"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 xml:space="preserve">Peer Sharing is conducted in a group size of </w:t>
            </w:r>
            <w:r w:rsidR="009410FC">
              <w:rPr>
                <w:rFonts w:ascii="Arial" w:eastAsia="Times New Roman" w:hAnsi="Arial" w:cs="Arial"/>
              </w:rPr>
              <w:t>3</w:t>
            </w:r>
            <w:r w:rsidR="00C75739">
              <w:rPr>
                <w:rFonts w:ascii="Arial" w:eastAsia="Times New Roman" w:hAnsi="Arial" w:cs="Arial"/>
              </w:rPr>
              <w:t xml:space="preserve"> to </w:t>
            </w:r>
            <w:r w:rsidRPr="00AA2A50">
              <w:rPr>
                <w:rFonts w:ascii="Arial" w:eastAsia="Times New Roman" w:hAnsi="Arial" w:cs="Arial"/>
              </w:rPr>
              <w:t>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xml:space="preserve"/>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 xml:space="preserve">Role play can simulate the real-life application of learning where learners will be able to learn and apply concepts directly in a </w:t>
            </w:r>
            <w:proofErr w:type="gramStart"/>
            <w:r w:rsidRPr="00F51D1B">
              <w:rPr>
                <w:rFonts w:ascii="Arial" w:eastAsia="Times New Roman" w:hAnsi="Arial" w:cs="Arial"/>
              </w:rPr>
              <w:t>low-risk</w:t>
            </w:r>
            <w:proofErr w:type="gramEnd"/>
            <w:r w:rsidRPr="00F51D1B">
              <w:rPr>
                <w:rFonts w:ascii="Arial" w:eastAsia="Times New Roman" w:hAnsi="Arial" w:cs="Arial"/>
              </w:rPr>
              <w:t xml:space="preserve">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2C19A615"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 xml:space="preserve">Group Discussion is conducted in a group size of </w:t>
            </w:r>
            <w:r w:rsidR="002B58E6">
              <w:rPr>
                <w:rFonts w:ascii="Arial" w:eastAsia="Times New Roman" w:hAnsi="Arial" w:cs="Arial"/>
                <w:lang w:val="en-SG"/>
              </w:rPr>
              <w:t>3</w:t>
            </w:r>
            <w:r w:rsidR="00C75739">
              <w:rPr>
                <w:rFonts w:ascii="Arial" w:eastAsia="Times New Roman" w:hAnsi="Arial" w:cs="Arial"/>
                <w:lang w:val="en-SG"/>
              </w:rPr>
              <w:t xml:space="preserve"> to </w:t>
            </w:r>
            <w:r w:rsidRPr="00AA2A50">
              <w:rPr>
                <w:rFonts w:ascii="Arial" w:eastAsia="Times New Roman" w:hAnsi="Arial" w:cs="Arial"/>
                <w:lang w:val="en-SG"/>
              </w:rPr>
              <w:t>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xml:space="preserve"/>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 xml:space="preserve"/>
            </w:r>
          </w:p>
          <w:p w14:paraId="095B09D8" w14:textId="0B935E3C"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095B09D8" w14:textId="0B935E3C"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evidence of candidates' ability to apply Kubernetes concepts and tools to solve real-world application development and deployment challenges. Candidates will complete a series of practical tasks that demonstrate their ability to design, build, deploy, monitor, and secure applications within a Kubernetes environment.</w:t>
            </w:r>
          </w:p>
          <w:p w14:paraId="095B09D8" w14:textId="0B935E3C" w:rsidR="008B613F" w:rsidRPr="00BC65BA" w:rsidRDefault="008B613F" w:rsidP="00BC65BA">
            <w:pPr>
              <w:rPr>
                <w:rFonts w:ascii="Arial" w:hAnsi="Arial" w:cs="Arial"/>
                <w:bCs/>
              </w:rPr>
            </w:pPr>
            <w:r w:rsidRPr="00BC65BA">
              <w:rPr>
                <w:rFonts w:ascii="Arial" w:hAnsi="Arial" w:cs="Arial"/>
                <w:bCs/>
              </w:rPr>
              <w:t xml:space="preserve">Type of Evidence:</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establish high-level structures by defining and building container images and deploying workload resources, demonstrating appropriate tool usage.</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align requirements by deploying applications with Kubernetes primitives and Helm, configuring services to meet functional and service requirements.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coordinate components by implementing health checks and using Kubernetes tools for monitoring and debugging, ensuring compatibility within the architecture.</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LO4: Candidates will articulate value by defining resource requirements and implementing security contexts, adhering to coding standards and ensuring scalability.</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LO5: Candidates will establish monitoring processes by implementing probes and health checks, validating the architecture against business needs through troubleshooting.</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Manner of Submission: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Kubernetes configuration files (YAML), container images, and deployment scripts, as well as documentation detailing their design decisions and troubleshooting steps.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screenshots and command outputs demonstrating the successful deployment, monitoring, and securing of applications in Kubernetes.</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Marking Process: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Functionality and Correctness.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Efficiency of Implementation.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Adherence to Best Practices.</w:t>
            </w:r>
          </w:p>
          <w:p w14:paraId="095B09D8" w14:textId="0B935E3C" w:rsidR="008B613F" w:rsidRPr="00BC65BA" w:rsidRDefault="008B613F" w:rsidP="00BC65BA">
            <w:pPr>
              <w:rPr>
                <w:rFonts w:ascii="Arial" w:hAnsi="Arial" w:cs="Arial"/>
                <w:bCs/>
              </w:rPr>
            </w:pPr>
            <w:r w:rsidRPr="00BC65BA">
              <w:rPr>
                <w:rFonts w:ascii="Arial" w:hAnsi="Arial" w:cs="Arial"/>
                <w:bCs/>
              </w:rPr>
              <w:t xml:space="preserve">Retention Period:</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configuration files, images, scripts, and assessment records, will be retained for 3 years to ensure compliance with institutional policies and for auditing purposes.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evidence of candidates' ability to apply Kubernetes concepts and tools to solve real-world application development and deployment challenges. Candidates will complete a series of practical tasks that demonstrate their ability to design, build, deploy, monitor, and secure applications within a Kubernetes environment.</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establish high-level structures by defining and building container images and deploying workload resources, demonstrating appropriate tool usage.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align requirements by deploying applications with Kubernetes primitives and Helm, configuring services to meet functional and service requirements.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coordinate components by implementing health checks and using Kubernetes tools for monitoring and debugging, ensuring compatibility within the architecture.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LO4: Candidates will articulate value by defining resource requirements and implementing security contexts, adhering to coding standards and ensuring scalability.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LO5: Candidates will establish monitoring processes by implementing probes and health checks, validating the architecture against business needs through troubleshooting.</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Kubernetes configuration files (YAML), container images, and deployment scripts, as well as documentation detailing their design decisions and troubleshooting steps.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screenshots and command outputs demonstrating the successful deployment, monitoring, and securing of applications in Kubernetes.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Functionality and Correctness.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Efficiency of Implementation.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Adherence to Best Practices.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configuration files, images, scripts, and assessment records, will be retained for 3 years to ensure compliance with institutional policies and for auditing purposes.</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xml:space="preserve"/>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7B6719E2" w14:textId="77777777" w:rsidR="00FF6FE3" w:rsidRPr="00BC65BA" w:rsidRDefault="00FF6FE3" w:rsidP="00FF6FE3">
            <w:pPr>
              <w:rPr>
                <w:rFonts w:ascii="Arial" w:hAnsi="Arial" w:cs="Arial"/>
              </w:rPr>
            </w:pPr>
            <w:r w:rsidRPr="00BC65BA">
              <w:rPr>
                <w:rFonts w:ascii="Arial" w:hAnsi="Arial" w:cs="Arial"/>
              </w:rPr>
              <w:t>This is a direct assessment method that will produce the product and knowledge-based evidence</w:t>
            </w:r>
          </w:p>
          <w:p w14:paraId="3A1F7C64" w14:textId="77777777" w:rsidR="00FF6FE3" w:rsidRPr="00BC65BA" w:rsidRDefault="00FF6FE3" w:rsidP="00FF6FE3">
            <w:pPr>
              <w:rPr>
                <w:rFonts w:ascii="Arial" w:hAnsi="Arial" w:cs="Arial"/>
              </w:rPr>
            </w:pPr>
          </w:p>
          <w:p w14:paraId="64F3EE01" w14:textId="77777777" w:rsidR="00FF6FE3" w:rsidRPr="00BC65BA" w:rsidRDefault="00FF6FE3" w:rsidP="00FF6FE3">
            <w:pPr>
              <w:rPr>
                <w:rFonts w:ascii="Arial" w:hAnsi="Arial" w:cs="Arial"/>
              </w:rPr>
            </w:pPr>
            <w:r w:rsidRPr="00BC65BA">
              <w:rPr>
                <w:rFonts w:ascii="Arial" w:hAnsi="Arial" w:cs="Arial"/>
              </w:rPr>
              <w:t xml:space="preserve">Assessors will ask direct questions to </w:t>
            </w:r>
            <w:proofErr w:type="gramStart"/>
            <w:r w:rsidRPr="00BC65BA">
              <w:rPr>
                <w:rFonts w:ascii="Arial" w:hAnsi="Arial" w:cs="Arial"/>
              </w:rPr>
              <w:t xml:space="preserve">learners</w:t>
            </w:r>
            <w:proofErr w:type="gramEnd"/>
            <w:r w:rsidRPr="00BC65BA">
              <w:rPr>
                <w:rFonts w:ascii="Arial" w:hAnsi="Arial" w:cs="Arial"/>
              </w:rPr>
              <w:t xml:space="preserve"> face to face.</w:t>
            </w:r>
          </w:p>
          <w:p w14:paraId="753510F5" w14:textId="77777777" w:rsidR="00EC42E9" w:rsidRPr="00BC65BA" w:rsidRDefault="00EC42E9" w:rsidP="00EC42E9">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753510F5" w14:textId="77777777" w:rsidR="00EC42E9" w:rsidRPr="00BC65BA" w:rsidRDefault="00EC42E9" w:rsidP="00EC42E9">
            <w:pPr>
              <w:rPr>
                <w:rFonts w:ascii="Arial" w:hAnsi="Arial" w:cs="Arial"/>
                <w:bCs/>
              </w:rPr>
            </w:pPr>
            <w:r w:rsidRPr="00BC65BA">
              <w:rPr>
                <w:rFonts w:ascii="Arial" w:hAnsi="Arial" w:cs="Arial"/>
                <w:bCs/>
              </w:rPr>
              <w:t xml:space="preserve">The Practical Performance (PP) assessment focuses on providing authentic evidence of candidates' ability to apply Kubernetes concepts and tools to solve real-world application development and deployment challenges. Candidates will complete a series of practical tasks that demonstrate their ability to design, build, deploy, monitor, and secure applications within a Kubernetes environment.</w:t>
            </w:r>
          </w:p>
          <w:p w14:paraId="753510F5" w14:textId="77777777" w:rsidR="00EC42E9" w:rsidRPr="00BC65BA" w:rsidRDefault="00EC42E9" w:rsidP="00EC42E9">
            <w:pPr>
              <w:rPr>
                <w:rFonts w:ascii="Arial" w:hAnsi="Arial" w:cs="Arial"/>
                <w:bCs/>
              </w:rPr>
            </w:pPr>
            <w:r w:rsidRPr="00BC65BA">
              <w:rPr>
                <w:rFonts w:ascii="Arial" w:hAnsi="Arial" w:cs="Arial"/>
                <w:bCs/>
              </w:rPr>
              <w:t xml:space="preserve">Type of Evidence:</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LO1: Candidates will establish high-level structures by defining and building container images and deploying workload resources, demonstrating appropriate tool usage.</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LO2: Candidates will align requirements by deploying applications with Kubernetes primitives and Helm, configuring services to meet functional and service requirements.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LO3: Candidates will coordinate components by implementing health checks and using Kubernetes tools for monitoring and debugging, ensuring compatibility within the architecture.</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LO4: Candidates will articulate value by defining resource requirements and implementing security contexts, adhering to coding standards and ensuring scalability.</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LO5: Candidates will establish monitoring processes by implementing probes and health checks, validating the architecture against business needs through troubleshooting.</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Manner of Submission: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Candidates will submit their Kubernetes configuration files (YAML), container images, and deployment scripts, as well as documentation detailing their design decisions and troubleshooting steps.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This includes screenshots and command outputs demonstrating the successful deployment, monitoring, and securing of applications in Kubernetes.</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Marking Process: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Functionality and Correctness.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Efficiency of Implementation.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Adherence to Best Practices.</w:t>
            </w:r>
          </w:p>
          <w:p w14:paraId="753510F5" w14:textId="77777777" w:rsidR="00EC42E9" w:rsidRPr="00BC65BA" w:rsidRDefault="00EC42E9" w:rsidP="00EC42E9">
            <w:pPr>
              <w:rPr>
                <w:rFonts w:ascii="Arial" w:hAnsi="Arial" w:cs="Arial"/>
                <w:bCs/>
              </w:rPr>
            </w:pPr>
            <w:r w:rsidRPr="00BC65BA">
              <w:rPr>
                <w:rFonts w:ascii="Arial" w:hAnsi="Arial" w:cs="Arial"/>
                <w:bCs/>
              </w:rPr>
              <w:t xml:space="preserve">Retention Period:</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All submitted evidence, including configuration files, images, scripts, and assessment records, will be retained for 3 years to ensure compliance with institutional policies and for auditing purposes.</w:t>
            </w:r>
          </w:p>
        </w:tc>
      </w:tr>
      <w:tr w:rsidR="00F16B9D" w:rsidRPr="00AD159D" w14:paraId="2EBE990A" w14:textId="77777777" w:rsidTr="00D8693A">
        <w:tc>
          <w:tcPr>
            <w:tcW w:w="2518" w:type="dxa"/>
            <w:shd w:val="clear" w:color="auto" w:fill="auto"/>
          </w:tcPr>
          <w:p w14:paraId="20608814" w14:textId="77777777" w:rsidR="00F16B9D" w:rsidRPr="00BC65BA" w:rsidRDefault="00F16B9D" w:rsidP="00F16B9D">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450AD710" w14:textId="77777777" w:rsidR="00F16B9D" w:rsidRPr="00BC65BA" w:rsidRDefault="00F16B9D" w:rsidP="00F16B9D">
            <w:pPr>
              <w:rPr>
                <w:rFonts w:ascii="Arial" w:hAnsi="Arial" w:cs="Arial"/>
              </w:rPr>
            </w:pPr>
            <w:r w:rsidRPr="00BC65BA">
              <w:rPr>
                <w:rFonts w:ascii="Arial" w:hAnsi="Arial" w:cs="Arial"/>
              </w:rPr>
              <w:t>1:3 (Min)</w:t>
            </w:r>
          </w:p>
          <w:p w14:paraId="4BE96511" w14:textId="77777777" w:rsidR="00F16B9D" w:rsidRPr="00BC65BA" w:rsidRDefault="00F16B9D" w:rsidP="00F16B9D">
            <w:pPr>
              <w:rPr>
                <w:rFonts w:ascii="Arial" w:hAnsi="Arial" w:cs="Arial"/>
              </w:rPr>
            </w:pPr>
            <w:r w:rsidRPr="00BC65BA">
              <w:rPr>
                <w:rFonts w:ascii="Arial" w:hAnsi="Arial" w:cs="Arial"/>
              </w:rPr>
              <w:t>1:20 (Max)</w:t>
            </w:r>
          </w:p>
          <w:p w14:paraId="4A61A74E" w14:textId="77777777" w:rsidR="00F16B9D" w:rsidRPr="00BC65BA" w:rsidRDefault="00F16B9D" w:rsidP="00F16B9D">
            <w:pPr>
              <w:rPr>
                <w:rFonts w:ascii="Arial" w:hAnsi="Arial" w:cs="Arial"/>
              </w:rPr>
            </w:pPr>
          </w:p>
        </w:tc>
        <w:tc>
          <w:tcPr>
            <w:tcW w:w="10068" w:type="dxa"/>
            <w:shd w:val="clear" w:color="auto" w:fill="auto"/>
          </w:tcPr>
          <w:p w14:paraId="1E9531CA" w14:textId="4D4CCD90" w:rsidR="00F16B9D" w:rsidRPr="00EE7D99" w:rsidRDefault="00A75B3F" w:rsidP="00F16B9D">
            <w:pPr>
              <w:rPr>
                <w:rFonts w:ascii="Arial" w:hAnsi="Arial" w:cs="Arial"/>
                <w:bCs/>
              </w:rPr>
            </w:pPr>
            <w:r w:rsidRPr="005802F5">
              <w:rPr>
                <w:rFonts w:ascii="Arial" w:hAnsi="Arial" w:cs="Arial"/>
                <w:bCs/>
              </w:rPr>
              <w:t xml:space="preserve">Role Play assessments allow learners to demonstrate their ability to apply learned concepts in simulated real-world interactions, focusing on the practical application of</w:t>
            </w:r>
            <w:r>
              <w:rPr>
                <w:rFonts w:ascii="Arial" w:hAnsi="Arial" w:cs="Arial"/>
                <w:bCs/>
              </w:rPr>
              <w:t xml:space="preserve"> sales closure</w:t>
            </w:r>
            <w:r w:rsidRPr="005802F5">
              <w:rPr>
                <w:rFonts w:ascii="Arial" w:hAnsi="Arial" w:cs="Arial"/>
                <w:bCs/>
              </w:rPr>
              <w:t xml:space="preserve"> skills.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The Practical Performance (PP) assessment focuses on providing authentic evidence of candidates' ability to apply Kubernetes concepts and tools to solve real-world application development and deployment challenges. Candidates will complete a series of practical tasks that demonstrate their ability to design, build, deploy, monitor, and secure applications within a Kubernetes environment.</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Type of Evidence:</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LO1: Candidates will establish high-level structures by defining and building container images and deploying workload resources, demonstrating appropriate tool usage.</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LO2: Candidates will align requirements by deploying applications with Kubernetes primitives and Helm, configuring services to meet functional and service requirements.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LO3: Candidates will coordinate components by implementing health checks and using Kubernetes tools for monitoring and debugging, ensuring compatibility within the architecture.</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LO4: Candidates will articulate value by defining resource requirements and implementing security contexts, adhering to coding standards and ensuring scalability.</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LO5: Candidates will establish monitoring processes by implementing probes and health checks, validating the architecture against business needs through troubleshooting.</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Manner of Submission:</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Candidates will submit their Kubernetes configuration files (YAML), container images, and deployment scripts, as well as documentation detailing their design decisions and troubleshooting steps.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This includes screenshots and command outputs demonstrating the successful deployment, monitoring, and securing of applications in Kubernetes.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Marking Process: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Functionality and Correctness.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Efficiency of Implementation.</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Adherence to Best Practices.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Retention Period:</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All submitted evidence, including configuration files, images, scripts, and assessment records, will be retained for 3 years to ensure compliance with institutional policies and for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