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Storytelling and Storyboarding with Generative AI</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Storytelling and Storyboarding with Generative AI according to AI Content Generation for Script Development MED-MED-3004-1.1 under Media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There is a noticeable gap in the industry's ability to produce content that is both ethically sound and free from bias. Many creators lack the necessary understanding of ethical considerations and the potential biases inherent in AI-generated content. This can lead to content that inadvertently perpetuates stereotypes or infringes on copyright, posing significant risks to creators and organizations.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offers comprehensive training on identifying and mitigating ethical issues and biases in AI-generated content. Participants learn to apply best practices for ethical content creation, ensuring that their work is both responsible and compliant with copyright laws. This knowledge empowers creators to produce content that is both innovative and ethically sound.</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08 May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