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Securing the Future with Quantum Computing and Cryptography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TGS-2024043419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February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release — 8-topic lesson plan with Topic 7 covering quantum paradoxes.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Realigned to the published TGS-2024043419 course outline: Topic 7 is now Quantum Computing Applications and Use Cases (finance, healthcare, science). Rebuilt the 4-day / 32-hour schedule around 18 hands-on activities mapped to the reusable Qiskit lab suite.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Major content expansion for the full 32 instructional hours: added a Prerequisites section (linear algebra, Dirac notation, unitary operators, density matrices and the five postulates of quantum mechanics), eleven full step-by-step mathematical derivations (phase kickback, Deutsch, Deutsch-Jozsa, teleportation, no-cloning, BB84 security, quantum error correction, Grover, Shor, CHSH and the QFT), Quantum Phase Estimation, and new sections on post-quantum hardening, quantum security and the convergence of quantum computing with AI. Integrated the QuantumLab Beginner ed-tool. Slide deck grows from 118 to 262 slides.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hyperlink w:anchor="_Toc1000">
        <w:r>
          <w:rPr>
            <w:rFonts w:ascii="Arial" w:hAnsi="Arial"/>
            <w:b/>
            <w:color w:val="333333"/>
            <w:sz w:val="22"/>
          </w:rPr>
          <w:t>Course Information</w:t>
          <w:tab/>
          <w:t>4</w:t>
        </w:r>
      </w:hyperlink>
    </w:p>
    <w:p>
      <w:pPr>
        <w:tabs>
          <w:tab w:pos="9072" w:val="right" w:leader="dot"/>
        </w:tabs>
        <w:spacing w:after="60"/>
      </w:pPr>
      <w:hyperlink w:anchor="_Toc1001">
        <w:r>
          <w:rPr>
            <w:rFonts w:ascii="Arial" w:hAnsi="Arial"/>
            <w:b/>
            <w:color w:val="333333"/>
            <w:sz w:val="22"/>
          </w:rPr>
          <w:t>Learning Outcomes</w:t>
          <w:tab/>
          <w:t>4</w:t>
        </w:r>
      </w:hyperlink>
    </w:p>
    <w:p>
      <w:pPr>
        <w:tabs>
          <w:tab w:pos="9072" w:val="right" w:leader="dot"/>
        </w:tabs>
        <w:spacing w:after="60"/>
      </w:pPr>
      <w:hyperlink w:anchor="_Toc1002">
        <w:r>
          <w:rPr>
            <w:rFonts w:ascii="Arial" w:hAnsi="Arial"/>
            <w:b/>
            <w:color w:val="333333"/>
            <w:sz w:val="22"/>
          </w:rPr>
          <w:t>Target Audience and Prerequisites</w:t>
          <w:tab/>
          <w:t>4</w:t>
        </w:r>
      </w:hyperlink>
    </w:p>
    <w:p>
      <w:pPr>
        <w:tabs>
          <w:tab w:pos="9072" w:val="right" w:leader="dot"/>
        </w:tabs>
        <w:spacing w:after="60"/>
      </w:pPr>
      <w:hyperlink w:anchor="_Toc1003">
        <w:r>
          <w:rPr>
            <w:rFonts w:ascii="Arial" w:hAnsi="Arial"/>
            <w:b/>
            <w:color w:val="333333"/>
            <w:sz w:val="22"/>
          </w:rPr>
          <w:t>Assessment</w:t>
          <w:tab/>
          <w:t>4</w:t>
        </w:r>
      </w:hyperlink>
    </w:p>
    <w:p>
      <w:pPr>
        <w:tabs>
          <w:tab w:pos="9072" w:val="right" w:leader="dot"/>
        </w:tabs>
        <w:spacing w:after="60"/>
      </w:pPr>
      <w:hyperlink w:anchor="_Toc1004">
        <w:r>
          <w:rPr>
            <w:rFonts w:ascii="Arial" w:hAnsi="Arial"/>
            <w:b/>
            <w:color w:val="333333"/>
            <w:sz w:val="22"/>
          </w:rPr>
          <w:t>Training Delivery and Resources</w:t>
          <w:tab/>
          <w:t>5</w:t>
        </w:r>
      </w:hyperlink>
    </w:p>
    <w:p>
      <w:pPr>
        <w:tabs>
          <w:tab w:pos="9072" w:val="right" w:leader="dot"/>
        </w:tabs>
        <w:spacing w:after="60"/>
      </w:pPr>
      <w:hyperlink w:anchor="_Toc1005">
        <w:r>
          <w:rPr>
            <w:rFonts w:ascii="Arial" w:hAnsi="Arial"/>
            <w:b/>
            <w:color w:val="333333"/>
            <w:sz w:val="22"/>
          </w:rPr>
          <w:t>Course Schedule</w:t>
          <w:tab/>
          <w:t>5</w:t>
        </w:r>
      </w:hyperlink>
    </w:p>
    <w:p>
      <w:pPr>
        <w:tabs>
          <w:tab w:pos="9072" w:val="right" w:leader="dot"/>
        </w:tabs>
        <w:spacing w:after="60"/>
        <w:ind w:left="432"/>
      </w:pPr>
      <w:hyperlink w:anchor="_Toc1006">
        <w:r>
          <w:rPr>
            <w:rFonts w:ascii="Arial" w:hAnsi="Arial"/>
            <w:b w:val="0"/>
            <w:color w:val="333333"/>
            <w:sz w:val="21"/>
          </w:rPr>
          <w:t>Day 1 — Quantum Physics Fundamentals &amp; Quantum Computing Systems</w:t>
          <w:tab/>
          <w:t>5</w:t>
        </w:r>
      </w:hyperlink>
    </w:p>
    <w:p>
      <w:pPr>
        <w:tabs>
          <w:tab w:pos="9072" w:val="right" w:leader="dot"/>
        </w:tabs>
        <w:spacing w:after="60"/>
        <w:ind w:left="432"/>
      </w:pPr>
      <w:hyperlink w:anchor="_Toc1007">
        <w:r>
          <w:rPr>
            <w:rFonts w:ascii="Arial" w:hAnsi="Arial"/>
            <w:b w:val="0"/>
            <w:color w:val="333333"/>
            <w:sz w:val="21"/>
          </w:rPr>
          <w:t>Day 2 — Quantum Gates, Circuits and Quantum Protocols</w:t>
          <w:tab/>
          <w:t>6</w:t>
        </w:r>
      </w:hyperlink>
    </w:p>
    <w:p>
      <w:pPr>
        <w:tabs>
          <w:tab w:pos="9072" w:val="right" w:leader="dot"/>
        </w:tabs>
        <w:spacing w:after="60"/>
        <w:ind w:left="432"/>
      </w:pPr>
      <w:hyperlink w:anchor="_Toc1008">
        <w:r>
          <w:rPr>
            <w:rFonts w:ascii="Arial" w:hAnsi="Arial"/>
            <w:b w:val="0"/>
            <w:color w:val="333333"/>
            <w:sz w:val="21"/>
          </w:rPr>
          <w:t>Day 3 — Quantum Algorithms and Quantum Cryptography</w:t>
          <w:tab/>
          <w:t>7</w:t>
        </w:r>
      </w:hyperlink>
    </w:p>
    <w:p>
      <w:pPr>
        <w:tabs>
          <w:tab w:pos="9072" w:val="right" w:leader="dot"/>
        </w:tabs>
        <w:spacing w:after="60"/>
        <w:ind w:left="432"/>
      </w:pPr>
      <w:hyperlink w:anchor="_Toc1009">
        <w:r>
          <w:rPr>
            <w:rFonts w:ascii="Arial" w:hAnsi="Arial"/>
            <w:b w:val="0"/>
            <w:color w:val="333333"/>
            <w:sz w:val="21"/>
          </w:rPr>
          <w:t>Day 4 — Applications, Error Correction and Assessment</w:t>
          <w:tab/>
          <w:t>8</w:t>
        </w:r>
      </w:hyperlink>
    </w:p>
    <w:p>
      <w:pPr>
        <w:tabs>
          <w:tab w:pos="9072" w:val="right" w:leader="dot"/>
        </w:tabs>
        <w:spacing w:after="60"/>
      </w:pPr>
      <w:hyperlink w:anchor="_Toc1010">
        <w:r>
          <w:rPr>
            <w:rFonts w:ascii="Arial" w:hAnsi="Arial"/>
            <w:b/>
            <w:color w:val="333333"/>
            <w:sz w:val="22"/>
          </w:rPr>
          <w:t>Topic and Activity Reference</w:t>
          <w:tab/>
          <w:t>9</w:t>
        </w:r>
      </w:hyperlink>
    </w:p>
    <w:p>
      <w:pPr>
        <w:tabs>
          <w:tab w:pos="9072" w:val="right" w:leader="dot"/>
        </w:tabs>
        <w:spacing w:after="60"/>
      </w:pPr>
      <w:hyperlink w:anchor="_Toc1011">
        <w:r>
          <w:rPr>
            <w:rFonts w:ascii="Arial" w:hAnsi="Arial"/>
            <w:b/>
            <w:color w:val="333333"/>
            <w:sz w:val="22"/>
          </w:rPr>
          <w:t>Activity Reference</w:t>
          <w:tab/>
          <w:t>9</w:t>
        </w:r>
      </w:hyperlink>
    </w:p>
    <w:p>
      <w:r>
        <w:br w:type="page"/>
      </w:r>
    </w:p>
    <w:p>
      <w:bookmarkStart w:id="1000" w:name="_Toc1000"/>
      <w:pPr>
        <w:pStyle w:val="Heading1"/>
      </w:pPr>
      <w:r>
        <w:t>Course Information</w:t>
      </w:r>
      <w:bookmarkEnd w:id="1000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Securing the Future with Quantum Computing and Cryptography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TGS-2024043419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 days · 8 training hours per day (32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counted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quantum computing labs using Qiskit and the IBM Quantum Platform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bookmarkStart w:id="1001" w:name="_Toc1001"/>
      <w:pPr>
        <w:pStyle w:val="Heading1"/>
      </w:pPr>
      <w:r>
        <w:t>Learning Outcomes</w:t>
      </w:r>
      <w:bookmarkEnd w:id="1001"/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Design mathematical models required for quantum computing applications.</w:t>
      </w:r>
    </w:p>
    <w:p>
      <w:pPr>
        <w:pStyle w:val="ListBullet"/>
      </w:pPr>
      <w:r>
        <w:rPr>
          <w:sz w:val="21"/>
        </w:rPr>
        <w:t>LO2: Decide on appropriate physical methodologies specific to quantum computing problems.</w:t>
      </w:r>
    </w:p>
    <w:p>
      <w:pPr>
        <w:pStyle w:val="ListBullet"/>
      </w:pPr>
      <w:r>
        <w:rPr>
          <w:sz w:val="21"/>
        </w:rPr>
        <w:t>LO3: Direct two-level quantum models for quantum computing.</w:t>
      </w:r>
    </w:p>
    <w:p>
      <w:pPr>
        <w:pStyle w:val="ListBullet"/>
      </w:pPr>
      <w:r>
        <w:rPr>
          <w:sz w:val="21"/>
        </w:rPr>
        <w:t>LO4: Evaluate quantum computing applicability in the business context.</w:t>
      </w:r>
    </w:p>
    <w:p>
      <w:pPr>
        <w:pStyle w:val="ListBullet"/>
      </w:pPr>
      <w:r>
        <w:rPr>
          <w:sz w:val="21"/>
        </w:rPr>
        <w:t>LO5: Spearhead the application of quantum gates to quantum computing domains.</w:t>
      </w:r>
    </w:p>
    <w:p>
      <w:pPr>
        <w:pStyle w:val="ListBullet"/>
      </w:pPr>
      <w:r>
        <w:rPr>
          <w:sz w:val="21"/>
        </w:rPr>
        <w:t>LO6: Establish guidelines for selecting quantum computing algorithms.</w:t>
      </w:r>
    </w:p>
    <w:p>
      <w:pPr>
        <w:pStyle w:val="ListBullet"/>
      </w:pPr>
      <w:r>
        <w:rPr>
          <w:sz w:val="21"/>
        </w:rPr>
        <w:t>LO7: Synthesize quantum computing methodologies to address complex problems in quantum computing.</w:t>
      </w:r>
    </w:p>
    <w:p>
      <w:bookmarkStart w:id="1002" w:name="_Toc1002"/>
      <w:pPr>
        <w:pStyle w:val="Heading1"/>
      </w:pPr>
      <w:r>
        <w:t>Target Audience and Prerequisites</w:t>
      </w:r>
      <w:bookmarkEnd w:id="1002"/>
    </w:p>
    <w:p>
      <w:pPr>
        <w:pStyle w:val="ListBullet"/>
      </w:pPr>
      <w:r>
        <w:rPr>
          <w:sz w:val="21"/>
        </w:rPr>
        <w:t>Target audience: quantum research scientists, quantum software developers, theoretical physicists, algorithm and cryptography researchers, computer science researchers, quantum hardware engineers, data scientists, postgraduate students in physics or computer science, and technology consultants.</w:t>
      </w:r>
    </w:p>
    <w:p>
      <w:pPr>
        <w:pStyle w:val="ListBullet"/>
      </w:pPr>
      <w:r>
        <w:rPr>
          <w:sz w:val="21"/>
        </w:rPr>
        <w:t>Knowledge and skills: computer operation proficiency, a minimum Polytechnic Diploma, and basic programming skill (preferably Python).</w:t>
      </w:r>
    </w:p>
    <w:p>
      <w:pPr>
        <w:pStyle w:val="ListBullet"/>
      </w:pPr>
      <w:r>
        <w:rPr>
          <w:sz w:val="21"/>
        </w:rPr>
        <w:t>Attitude: a positive learning disposition and enthusiastic engagement.</w:t>
      </w:r>
    </w:p>
    <w:p>
      <w:pPr>
        <w:pStyle w:val="ListBullet"/>
      </w:pPr>
      <w:r>
        <w:rPr>
          <w:sz w:val="21"/>
        </w:rPr>
        <w:t>Experience: a minimum of 1 year of working experience.</w:t>
      </w:r>
    </w:p>
    <w:p>
      <w:pPr>
        <w:pStyle w:val="ListBullet"/>
      </w:pPr>
      <w:r>
        <w:rPr>
          <w:sz w:val="21"/>
        </w:rPr>
        <w:t>Software and hardware: Python, Visual Studio Code or Anaconda, free Google Colab and IBM Quantum accounts, and a Windows or Mac laptop.</w:t>
      </w:r>
    </w:p>
    <w:p>
      <w:bookmarkStart w:id="1003" w:name="_Toc1003"/>
      <w:pPr>
        <w:pStyle w:val="Heading1"/>
      </w:pPr>
      <w:r>
        <w:t>Assessment</w:t>
      </w:r>
      <w:bookmarkEnd w:id="1003"/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hands-on quantum circuit and algorithm tasks,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The final assessment is conducted on Day 4 from 4:30 pm.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ListBullet"/>
      </w:pPr>
      <w:r>
        <w:rPr>
          <w:sz w:val="21"/>
        </w:rPr>
        <w:t>Learners assessed as Not Yet Competent may re-sit the assessment; an appeal process is available.</w:t>
      </w:r>
    </w:p>
    <w:p>
      <w:bookmarkStart w:id="1004" w:name="_Toc1004"/>
      <w:pPr>
        <w:pStyle w:val="Heading1"/>
      </w:pPr>
      <w:r>
        <w:t>Training Delivery and Resources</w:t>
      </w:r>
      <w:bookmarkEnd w:id="1004"/>
    </w:p>
    <w:p>
      <w:pPr>
        <w:pStyle w:val="ListBullet"/>
      </w:pPr>
      <w:r>
        <w:rPr>
          <w:sz w:val="21"/>
        </w:rPr>
        <w:t>Delivery: instructor-led classroom or live virtual delivery, combining concept explanation, worked mathematical examples, live circuit demonstrations and hands-on activities.</w:t>
      </w:r>
    </w:p>
    <w:p>
      <w:pPr>
        <w:pStyle w:val="ListBullet"/>
      </w:pPr>
      <w:r>
        <w:rPr>
          <w:sz w:val="21"/>
        </w:rPr>
        <w:t>Every topic pairs concept teaching with at least one hands-on activity so learners apply each idea immediately.</w:t>
      </w:r>
    </w:p>
    <w:p>
      <w:pPr>
        <w:pStyle w:val="ListBullet"/>
      </w:pPr>
      <w:r>
        <w:rPr>
          <w:sz w:val="21"/>
        </w:rPr>
        <w:t>Learner resources: course slides, Learner Guide with full step-by-step activity instructions, and the lab source code (Python/Qiskit and OpenQASM) in the labs folder.</w:t>
      </w:r>
    </w:p>
    <w:p>
      <w:pPr>
        <w:pStyle w:val="ListBullet"/>
      </w:pPr>
      <w:r>
        <w:rPr>
          <w:sz w:val="21"/>
        </w:rPr>
        <w:t>Platform: Qiskit 2.x with the IBM Quantum Platform (free tier), IBM Quantum Composer, PennyLane and Google Colab.</w:t>
      </w:r>
    </w:p>
    <w:p>
      <w:pPr>
        <w:pStyle w:val="ListBullet"/>
      </w:pPr>
      <w:r>
        <w:rPr>
          <w:sz w:val="21"/>
        </w:rPr>
        <w:t>Trainer resources: master trainer slides, lesson plan, model answers and the marking guide.</w:t>
      </w:r>
    </w:p>
    <w:p>
      <w:bookmarkStart w:id="1005" w:name="_Toc1005"/>
      <w:pPr>
        <w:pStyle w:val="Heading1"/>
      </w:pPr>
      <w:r>
        <w:t>Course Schedule</w:t>
      </w:r>
      <w:bookmarkEnd w:id="1005"/>
    </w:p>
    <w:p>
      <w:r>
        <w:t>Each training day runs from 9:30 am to 6:30 pm and delivers exactly 8 instructional hours. The 1-hour lunch break is excluded from instructional time; tea breaks are counted within it.</w:t>
      </w:r>
    </w:p>
    <w:p>
      <w:bookmarkStart w:id="1006" w:name="_Toc1006"/>
      <w:pPr>
        <w:pStyle w:val="Heading2"/>
      </w:pPr>
      <w:r>
        <w:t>Day 1 — Quantum Physics Fundamentals &amp; Quantum Computing Systems</w:t>
      </w:r>
      <w:bookmarkEnd w:id="100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learning outcomes, ground rules and mandatory AM digital attendance (TRAQOM)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PREREQUISITES — Mathematics of quantum mechanics: linear algebra and Dirac notation, inner/outer products, tensor products, eigenvalues. Unitary operators and the four properties (norm-preserving, inner-product preserving, reversible, unit-circle eigenvalues)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11:15–12:30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The FIVE POSTULATES of quantum mechanics, one at a time with the mathematics of each (state space, unitary evolution, observables, Born rule, collapse). Density matrices and mixed states. Intro to the QuantumLab ed-tool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13:30–15:00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1: Linear Algebra for Quantum Mechanics in Python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15:15–16:15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Introduction to Quantum Computing Systems: qubits versus classical bits, the Bloch sphere, physical qubit technologies and commercial quantum platforms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(continued) — Superposition and entanglement. Hands-on: Activity 2: Visualising a Qubit on the Bloch Sphere; Activity 3: Superposition and Entanglement on IBM Quantum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instructional time: 480 minutes (8 hours).</w:t>
      </w:r>
    </w:p>
    <w:p>
      <w:bookmarkStart w:id="1007" w:name="_Toc1007"/>
      <w:pPr>
        <w:pStyle w:val="Heading2"/>
      </w:pPr>
      <w:r>
        <w:t>Day 2 — Quantum Gates, Circuits and Quantum Protocols</w:t>
      </w:r>
      <w:bookmarkEnd w:id="100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AM digital attendance (TRAQOM)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Quantum Gates and Circuits: Pauli gates, Hadamard, rotation and phase gates, and their key properties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11:15–12:30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(continued) — Multi-qubit gates (CNOT, CZ, controlled-phase, SWAP, Toffoli), Bell and GHZ states. FULL DERIVATION of PHASE KICKBACK, step by step, and the oracle identity U_f|x&gt;|-&gt; = (-1)^f(x)|x&gt;|-&gt;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13:30–15:15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4: Building Circuits in IBM Quantum Composer; Activity 5: Quantum Gates and Bell/GHZ States with PennyLane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15:15–15:30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15:30–16:30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Quantum Protocols: FULL PROOF of the no-cloning theorem, and the complete seven-step algebraic DERIVATION of quantum teleportation. Superdense coding as its dual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4 (continued) — FULL PROOF of BB84 security: sifting, the intercept-resend attack, the 25% QBER and the detection probability. The CHSH inequality and its 2 vs 2√2 bound. Hands-on: Activity 6: Quantum Teleportation; Activity 7: Superdense Coding Protocol; Activity 8: BB84 Quantum Key Distribution with Eavesdropping Detection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instructional time: 480 minutes (8 hours).</w:t>
      </w:r>
    </w:p>
    <w:p>
      <w:bookmarkStart w:id="1008" w:name="_Toc1008"/>
      <w:pPr>
        <w:pStyle w:val="Heading2"/>
      </w:pPr>
      <w:r>
        <w:t>Day 3 — Quantum Algorithms and Quantum Cryptography</w:t>
      </w:r>
      <w:bookmarkEnd w:id="100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mandatory AM digital attendance (TRAQOM)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— Quantum Algorithms: the query/oracle model. FULL DERIVATIONS of the Deutsch algorithm (6 steps) and Deutsch-Jozsa (5 steps) showing the exponential query separation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5 (continued) — Bernstein-Vazirani. Hands-on: Activity 9: Deutsch and Deutsch-Jozsa Algorithms; Activity 10: Bernstein-Vazirani Algorithm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13:30–15:15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5 (continued) — FULL DERIVATION of Grover (two reflections = a rotation, the (π/4)√N bound and over-rotation). The QUANTUM FOURIER TRANSFORM and QUANTUM PHASE ESTIMATION. Hands-on: Activity 11: Grover's Search Algorithm; Activity 12: Quantum Fourier Transform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15:15–15:30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15:30–16:45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6 — Quantum Cryptography and Quantum Safety: classical cryptography, the quantum threat. FULL DERIVATION of Shor's algorithm (factoring reduced to period finding). POST-QUANTUM HARDENING: Mosca's inequality, cryptographic inventory (CBOM), NIST FIPS 203/204/205, hybrid key exchange and crypto-agility. QUANTUM SECURITY: threat model, QKD vs PQC, QRNG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13: Shor's Algorithm and the Quantum Threat to RSA; Activity 14: Post-Quantum Cryptography Migration Assessment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instructional time: 480 minutes (8 hours).</w:t>
      </w:r>
    </w:p>
    <w:p>
      <w:bookmarkStart w:id="1009" w:name="_Toc1009"/>
      <w:pPr>
        <w:pStyle w:val="Heading2"/>
      </w:pPr>
      <w:r>
        <w:t>Day 4 — Applications, Error Correction and Assessment</w:t>
      </w:r>
      <w:bookmarkEnd w:id="100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 and mandatory AM digital attendance (TRAQOM)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7 — Applications and Use Cases: finance, healthcare and life sciences, science and materials, optimisation. QUANTUM COMPUTING AND AI: the four intersections, quantum machine learning honestly assessed, AI for quantum (calibration, ML error decoders), quantum-inspired classical algorithms and the realistic outlook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15: Molecular Simulation with VQE (Healthcare &amp; Science); Activity 16: Portfolio Optimisation with QAOA (Finance)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13:30–14:30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8 — Quantum Error Correction: FULL PROOF that QEC works — why naive copying is forbidden, encoding, syndrome operators and why measuring the syndrome does NOT collapse the logical state. Shor 9-qubit, Steane 7-qubit, surface codes and the threshold theorem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14:30–15:45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17: Bit-Flip and Phase-Flip Error Correction Codes; Activity 18: Shor 9-Qubit and Steane 7-Qubit Codes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 across all eight topics and Briefing for Assessment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16:30–17:30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17:30–18:30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quantum circuit and algorithm tasks, 1 hour, open book. TRAQOM survey and PM/Assessment digital attendance</w:t>
            </w:r>
          </w:p>
        </w:tc>
      </w:tr>
    </w:tbl>
    <w:p>
      <w:r>
        <w:rPr>
          <w:i/>
          <w:color w:val="555B66"/>
          <w:sz w:val="19"/>
        </w:rPr>
        <w:t>Total instructional time: 480 minutes (8 hours).</w:t>
      </w:r>
    </w:p>
    <w:p>
      <w:bookmarkStart w:id="1010" w:name="_Toc1010"/>
      <w:pPr>
        <w:pStyle w:val="Heading1"/>
      </w:pPr>
      <w:r>
        <w:t>Topic and Activity Reference</w:t>
      </w:r>
      <w:bookmarkEnd w:id="1010"/>
    </w:p>
    <w:p>
      <w:r>
        <w:t>Each topic maps to the learning outcomes shown and is taught with the hands-on activities listed. Detailed step-by-step instructions for every activity are in the Learner Guide.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Maps to</w:t>
            </w:r>
          </w:p>
        </w:tc>
        <w:tc>
          <w:tcPr>
            <w:tcW w:type="dxa" w:w="36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Hands-on activities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36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Quantum Physics Fundamentals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44</w:t>
            </w:r>
          </w:p>
        </w:tc>
      </w:tr>
      <w:tr>
        <w:tc>
          <w:tcPr>
            <w:tcW w:type="dxa" w:w="36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Introduction to Quantum Computing Systems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LO2, LO4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2, Activity 3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52</w:t>
            </w:r>
          </w:p>
        </w:tc>
      </w:tr>
      <w:tr>
        <w:tc>
          <w:tcPr>
            <w:tcW w:type="dxa" w:w="36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Quantum Gates and Circuits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LO3, LO5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4, Activity 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63</w:t>
            </w:r>
          </w:p>
        </w:tc>
      </w:tr>
      <w:tr>
        <w:tc>
          <w:tcPr>
            <w:tcW w:type="dxa" w:w="36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Quantum Protocols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LO3, LO7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6, Activity 7, Activity 8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81</w:t>
            </w:r>
          </w:p>
        </w:tc>
      </w:tr>
      <w:tr>
        <w:tc>
          <w:tcPr>
            <w:tcW w:type="dxa" w:w="36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Quantum Algorithms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LO6, LO7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9, Activity 10, Activity 11, Activity 12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130</w:t>
            </w:r>
          </w:p>
        </w:tc>
      </w:tr>
      <w:tr>
        <w:tc>
          <w:tcPr>
            <w:tcW w:type="dxa" w:w="36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06: Quantum Cryptography and Quantum Safety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LO4, LO7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13, Activity 14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185</w:t>
            </w:r>
          </w:p>
        </w:tc>
      </w:tr>
      <w:tr>
        <w:tc>
          <w:tcPr>
            <w:tcW w:type="dxa" w:w="36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07: Quantum Computing Applications and Use Cases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LO4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15, Activity 16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216</w:t>
            </w:r>
          </w:p>
        </w:tc>
      </w:tr>
      <w:tr>
        <w:tc>
          <w:tcPr>
            <w:tcW w:type="dxa" w:w="36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08: Quantum Error Correction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LO7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17, Activity 18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234</w:t>
            </w:r>
          </w:p>
        </w:tc>
      </w:tr>
    </w:tbl>
    <w:p>
      <w:bookmarkStart w:id="1011" w:name="_Toc1011"/>
      <w:pPr>
        <w:pStyle w:val="Heading1"/>
      </w:pPr>
      <w:r>
        <w:t>Activity Reference</w:t>
      </w:r>
      <w:bookmarkEnd w:id="101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51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Learning outcome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Linear Algebra for Quantum Mechanics in Python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LO1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49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Visualising a Qubit on the Bloch Sphere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58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Superposition and Entanglement on IBM Quantum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LO2, LO4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60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4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Building Circuits in IBM Quantum Composer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76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Quantum Gates and Bell/GHZ States with PennyLane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LO3, LO5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78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Quantum Teleportation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LO3, LO7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123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7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Superdense Coding Protocol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LO3, LO7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125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8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BB84 Quantum Key Distribution with Eavesdropping Detection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LO7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127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Deutsch and Deutsch-Jozsa Algorithms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LO6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176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Bernstein-Vazirani Algorithm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LO6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178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Grover's Search Algorithm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LO6, LO7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180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Quantum Fourier Transform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LO6, LO7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182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Shor's Algorithm and the Quantum Threat to RSA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LO7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211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Post-Quantum Cryptography Migration Assessment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LO4, LO7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213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Molecular Simulation with VQE (Healthcare &amp; Science)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LO4, LO7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229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Portfolio Optimisation with QAOA (Finance)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LO4, LO6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231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17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Bit-Flip and Phase-Flip Error Correction Codes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LO7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250</w:t>
            </w:r>
          </w:p>
        </w:tc>
      </w:tr>
      <w:t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18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Shor 9-Qubit and Steane 7-Qubit Codes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LO7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Slide 252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