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t>{{LOGO}}</w:t>
      </w:r>
    </w:p>
    <w:p/>
    <w:p>
      <w:pPr>
        <w:spacing w:after="80"/>
        <w:jc w:val="center"/>
      </w:pPr>
      <w:r>
        <w:rPr>
          <w:b/>
          <w:i w:val="0"/>
          <w:color w:val="1F3A5F"/>
          <w:sz w:val="56"/>
        </w:rPr>
        <w:t>Training Systems and Capabilities</w:t>
      </w:r>
    </w:p>
    <w:p>
      <w:pPr>
        <w:spacing w:after="480"/>
        <w:jc w:val="center"/>
      </w:pPr>
      <w:r>
        <w:rPr>
          <w:b w:val="0"/>
          <w:i/>
          <w:sz w:val="32"/>
        </w:rPr>
        <w:t>Standard Operating Procedure</w:t>
      </w:r>
    </w:p>
    <w:p>
      <w:pPr>
        <w:spacing w:after="40"/>
        <w:jc w:val="center"/>
      </w:pPr>
      <w:r>
        <w:rPr>
          <w:b/>
          <w:i w:val="0"/>
          <w:sz w:val="40"/>
        </w:rPr>
        <w:t>{{COMPANY_NAME}}</w:t>
      </w:r>
    </w:p>
    <w:p>
      <w:pPr>
        <w:spacing w:after="40"/>
        <w:jc w:val="center"/>
      </w:pPr>
      <w:r>
        <w:rPr>
          <w:b w:val="0"/>
          <w:i w:val="0"/>
          <w:sz w:val="22"/>
        </w:rPr>
        <w:t>UEN: {{UEN}}</w:t>
      </w:r>
    </w:p>
    <w:p>
      <w:pPr>
        <w:spacing w:after="40"/>
        <w:jc w:val="center"/>
      </w:pPr>
      <w:r>
        <w:rPr>
          <w:b w:val="0"/>
          <w:i w:val="0"/>
          <w:sz w:val="22"/>
        </w:rPr>
        <w:t>{{ADDRESS}}</w:t>
      </w:r>
    </w:p>
    <w:p>
      <w:pPr>
        <w:spacing w:after="360"/>
        <w:jc w:val="center"/>
      </w:pPr>
      <w:r>
        <w:rPr>
          <w:b w:val="0"/>
          <w:i w:val="0"/>
          <w:sz w:val="22"/>
        </w:rPr>
        <w:t>{{WEBSITE}}</w:t>
      </w:r>
    </w:p>
    <w:p>
      <w:pPr>
        <w:spacing w:after="40"/>
        <w:jc w:val="center"/>
      </w:pPr>
      <w:r>
        <w:rPr>
          <w:b/>
          <w:i w:val="0"/>
          <w:sz w:val="24"/>
        </w:rPr>
        <w:t>Support Contact</w:t>
      </w:r>
    </w:p>
    <w:p>
      <w:pPr>
        <w:spacing w:after="20"/>
        <w:jc w:val="center"/>
      </w:pPr>
      <w:r>
        <w:rPr>
          <w:b w:val="0"/>
          <w:i w:val="0"/>
          <w:sz w:val="22"/>
        </w:rPr>
        <w:t>{{CONTACT_NAME}}</w:t>
      </w:r>
    </w:p>
    <w:p>
      <w:pPr>
        <w:spacing w:after="20"/>
        <w:jc w:val="center"/>
      </w:pPr>
      <w:r>
        <w:rPr>
          <w:b w:val="0"/>
          <w:i w:val="0"/>
          <w:sz w:val="22"/>
        </w:rPr>
        <w:t>Tel: {{CONTACT_TEL}}</w:t>
      </w:r>
    </w:p>
    <w:p>
      <w:pPr>
        <w:spacing w:after="20"/>
        <w:jc w:val="center"/>
      </w:pPr>
      <w:r>
        <w:rPr>
          <w:b w:val="0"/>
          <w:i w:val="0"/>
          <w:sz w:val="22"/>
        </w:rPr>
        <w:t>Email: {{CONTACT_EMAIL}}</w:t>
      </w:r>
    </w:p>
    <w:p>
      <w:r>
        <w:br w:type="page"/>
      </w:r>
    </w:p>
    <w:p>
      <w:pPr>
        <w:pStyle w:val="Heading1"/>
      </w:pPr>
      <w:r>
        <w:t>Version Control Record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Effective Date</w:t>
            </w:r>
          </w:p>
        </w:tc>
        <w:tc>
          <w:tcPr>
            <w:tcW w:type="dxa" w:w="2160"/>
          </w:tcPr>
          <w:p>
            <w:r>
              <w:rPr>
                <w:b/>
              </w:rPr>
              <w:t>Change History</w:t>
            </w:r>
          </w:p>
        </w:tc>
        <w:tc>
          <w:tcPr>
            <w:tcW w:type="dxa" w:w="2160"/>
          </w:tcPr>
          <w:p>
            <w:r>
              <w:rPr>
                <w:b/>
              </w:rPr>
              <w:t>Updated By</w:t>
            </w:r>
          </w:p>
        </w:tc>
      </w:tr>
      <w:tr>
        <w:tc>
          <w:tcPr>
            <w:tcW w:type="dxa" w:w="2160"/>
          </w:tcPr>
          <w:p>
            <w:r>
              <w:t>1.0</w:t>
            </w:r>
          </w:p>
        </w:tc>
        <w:tc>
          <w:tcPr>
            <w:tcW w:type="dxa" w:w="2160"/>
          </w:tcPr>
          <w:p>
            <w:r>
              <w:t>{{DATE}}</w:t>
            </w:r>
          </w:p>
        </w:tc>
        <w:tc>
          <w:tcPr>
            <w:tcW w:type="dxa" w:w="2160"/>
          </w:tcPr>
          <w:p>
            <w:r>
              <w:t>1st Release</w:t>
            </w:r>
          </w:p>
        </w:tc>
        <w:tc>
          <w:tcPr>
            <w:tcW w:type="dxa" w:w="2160"/>
          </w:tcPr>
          <w:p>
            <w:r>
              <w:t>{{OWNER_NAME}}</w:t>
            </w:r>
          </w:p>
        </w:tc>
      </w:tr>
    </w:tbl>
    <w:p>
      <w:pPr>
        <w:spacing w:after="160"/>
      </w:pPr>
    </w:p>
    <w:p>
      <w:r>
        <w:br w:type="page"/>
      </w:r>
    </w:p>
    <w:p>
      <w:pPr>
        <w:pStyle w:val="Heading1"/>
      </w:pPr>
      <w:r>
        <w:t>Table of Contents</w:t>
      </w:r>
    </w:p>
    <w:p>
      <w:r>
        <w:fldChar w:fldCharType="begin"/>
        <w:instrText xml:space="preserve">TOC \o "1-3" \h \z \u</w:instrText>
        <w:fldChar w:fldCharType="separate"/>
        <w:t>Update this field to build the Table of Contents.</w:t>
        <w:fldChar w:fldCharType="end"/>
      </w:r>
    </w:p>
    <w:p>
      <w:r>
        <w:br w:type="page"/>
      </w:r>
    </w:p>
    <w:p>
      <w:pPr>
        <w:pStyle w:val="Heading1"/>
      </w:pPr>
      <w:r>
        <w:t>Organisation Chart of Management Team</w:t>
      </w:r>
    </w:p>
    <w:p>
      <w:pPr>
        <w:spacing w:after="160"/>
      </w:pPr>
      <w:r>
        <w:t>The management team of {{COMPANY_NAME}} is led by {{OWNER_NAME}}. The organisation chart below sets out the reporting lines across the company's functional departments.</w:t>
      </w:r>
    </w:p>
    <w:p>
      <w:pPr>
        <w:jc w:val="center"/>
      </w:pPr>
      <w:r>
        <w:t>[[DIAGRAM:org_management]]</w:t>
      </w:r>
    </w:p>
    <w:p>
      <w:r>
        <w:br w:type="page"/>
      </w:r>
    </w:p>
    <w:p>
      <w:pPr>
        <w:pStyle w:val="Heading1"/>
      </w:pPr>
      <w:r>
        <w:t>A. Course Administration</w:t>
      </w:r>
    </w:p>
    <w:p>
      <w:pPr>
        <w:pStyle w:val="Heading2"/>
      </w:pPr>
      <w:r>
        <w:t>A.1  Roles and Responsibilities</w:t>
      </w:r>
    </w:p>
    <w:p>
      <w:pPr>
        <w:spacing w:after="160"/>
      </w:pPr>
      <w:r>
        <w:t>{{COMPANY_NAME}} defines clear roles and responsibilities for the delivery and administration of its training programmes. The Training Manager and Management Representative oversees overall training quality and compliance with SkillsFuture Singapore (SSG) requirements, supported by the finance, administration and training functions.</w:t>
      </w:r>
    </w:p>
    <w:p>
      <w:pPr>
        <w:pStyle w:val="Heading2"/>
      </w:pPr>
      <w:r>
        <w:t>A.2  Organisation Chart of Training Team</w:t>
      </w:r>
    </w:p>
    <w:p>
      <w:pPr>
        <w:spacing w:after="160"/>
      </w:pPr>
      <w:r>
        <w:t>The training team structure of {{COMPANY_NAME}} is shown below.</w:t>
      </w:r>
    </w:p>
    <w:p>
      <w:pPr>
        <w:jc w:val="center"/>
      </w:pPr>
      <w:r>
        <w:t>[[DIAGRAM:org_training]]</w:t>
      </w:r>
    </w:p>
    <w:p>
      <w:pPr>
        <w:pStyle w:val="Heading2"/>
      </w:pPr>
      <w:r>
        <w:t>A.3  Administrative Support and Processes</w:t>
      </w:r>
    </w:p>
    <w:p>
      <w:pPr>
        <w:spacing w:after="160"/>
      </w:pPr>
      <w:r>
        <w:t>Enquiries and registrations are handled through a standardised process to ensure prospective trainees receive timely advisory and accurate course information. The end-to-end pre-course enquiry and registration flow is shown below.</w:t>
      </w:r>
    </w:p>
    <w:p>
      <w:pPr>
        <w:jc w:val="center"/>
      </w:pPr>
      <w:r>
        <w:t>[[DIAGRAM:enquiry]]</w:t>
      </w:r>
    </w:p>
    <w:p>
      <w:pPr>
        <w:spacing w:after="160"/>
      </w:pPr>
      <w:r>
        <w:t>Upon successful enrolment, the administration team confirms the funding route with the trainee, whether self-sponsored or employer-sponsored, and guides them on the use of SkillsFuture credits where applicable.</w:t>
      </w:r>
    </w:p>
    <w:p>
      <w:pPr>
        <w:jc w:val="center"/>
      </w:pPr>
      <w:r>
        <w:t>[[DIAGRAM:funding]]</w:t>
      </w:r>
    </w:p>
    <w:p>
      <w:pPr>
        <w:spacing w:after="160"/>
      </w:pPr>
      <w:r>
        <w:t>Before each course run, {{COMPANY_NAME}} confirms the run and sends reminders to enrolled trainees, or notifies them of any cancellation and processes refunds accordingly.</w:t>
      </w:r>
    </w:p>
    <w:p>
      <w:pPr>
        <w:jc w:val="center"/>
      </w:pPr>
      <w:r>
        <w:t>[[DIAGRAM:course_confirmation]]</w:t>
      </w:r>
    </w:p>
    <w:p>
      <w:pPr>
        <w:pStyle w:val="Heading2"/>
      </w:pPr>
      <w:r>
        <w:t>A.4  Marketing Guidelines by SSG</w:t>
      </w:r>
    </w:p>
    <w:p>
      <w:pPr>
        <w:spacing w:after="160"/>
      </w:pPr>
      <w:r>
        <w:t>All marketing collateral published by {{COMPANY_NAME}} complies with the SSG marketing guidelines, including accurate representation of course fees, funding, trainer credentials and course outcomes.</w:t>
      </w:r>
    </w:p>
    <w:p>
      <w:pPr>
        <w:pStyle w:val="Heading2"/>
      </w:pPr>
      <w:r>
        <w:t>A.5  Synchronous E-Training Delivery System</w:t>
      </w:r>
    </w:p>
    <w:p>
      <w:pPr>
        <w:spacing w:after="160"/>
      </w:pPr>
      <w:r>
        <w:t>For synchronous e-learning conducted over an approved video-conferencing platform, {{COMPANY_NAME}} applies the following controls:</w:t>
      </w:r>
    </w:p>
    <w:p>
      <w:pPr>
        <w:pStyle w:val="ListBullet"/>
      </w:pPr>
      <w:r>
        <w:t>Authenticate learners' identities (e.g. pre-course identity verification).</w:t>
      </w:r>
    </w:p>
    <w:p>
      <w:pPr>
        <w:pStyle w:val="ListBullet"/>
      </w:pPr>
      <w:r>
        <w:t>Verify attendance at the start, mid-point and end of each session.</w:t>
      </w:r>
    </w:p>
    <w:p>
      <w:pPr>
        <w:pStyle w:val="ListBullet"/>
      </w:pPr>
      <w:r>
        <w:t>Record sessions where required, with the trainer and Training Co-ordinator holding the Zoom (or equivalent) licence and host controls.</w:t>
      </w:r>
    </w:p>
    <w:p>
      <w:pPr>
        <w:pStyle w:val="ListBullet"/>
      </w:pPr>
      <w:r>
        <w:t>Capture screenshots / attendance evidence to support attendance submission.</w:t>
      </w:r>
    </w:p>
    <w:p>
      <w:pPr>
        <w:pStyle w:val="Heading2"/>
      </w:pPr>
      <w:r>
        <w:t>A.6  Learner Support System</w:t>
      </w:r>
    </w:p>
    <w:p>
      <w:pPr>
        <w:spacing w:after="160"/>
      </w:pPr>
      <w:r>
        <w:t>{{COMPANY_NAME}} provides learners with technical and learning support before and during the course, including guidance on platform access, course materials and assessment requirements. Learners may contact {{CONTACT_NAME}} at {{CONTACT_EMAIL}} or {{CONTACT_TEL}} for assistance.</w:t>
      </w:r>
    </w:p>
    <w:p>
      <w:pPr>
        <w:pStyle w:val="Heading2"/>
      </w:pPr>
      <w:r>
        <w:t>A.7  Attendance Submission</w:t>
      </w:r>
    </w:p>
    <w:p>
      <w:pPr>
        <w:spacing w:after="160"/>
      </w:pPr>
      <w:r>
        <w:t>Attendance is recorded using the mandated e-attendance system and submitted to SSG within the stipulated timelines, with supporting verification records retained for audit.</w:t>
      </w:r>
    </w:p>
    <w:p>
      <w:pPr>
        <w:pStyle w:val="Heading2"/>
      </w:pPr>
      <w:r>
        <w:t>A.8  Pre-course and Post-course Advisory Service</w:t>
      </w:r>
    </w:p>
    <w:p>
      <w:pPr>
        <w:spacing w:after="160"/>
      </w:pPr>
      <w:r>
        <w:t>A learning consultant provides pre-course advisory on course suitability, fees, funding and eligibility, and post-course advisory on progression pathways and further learning opportunities.</w:t>
      </w:r>
    </w:p>
    <w:p>
      <w:pPr>
        <w:pStyle w:val="Heading2"/>
      </w:pPr>
      <w:r>
        <w:t>A.9  Assessment Appeal</w:t>
      </w:r>
    </w:p>
    <w:p>
      <w:pPr>
        <w:spacing w:after="160"/>
      </w:pPr>
      <w:r>
        <w:t>Trainees may appeal an assessment outcome in writing within the stipulated period. {{COMPANY_NAME}} reviews each appeal objectively and informs the trainee of the outcome.</w:t>
      </w:r>
    </w:p>
    <w:p>
      <w:pPr>
        <w:pStyle w:val="Heading2"/>
      </w:pPr>
      <w:r>
        <w:t>A.10  Refund Process</w:t>
      </w:r>
    </w:p>
    <w:p>
      <w:pPr>
        <w:spacing w:after="160"/>
      </w:pPr>
      <w:r>
        <w:t>Refund requests are received in writing and assessed against the refund policy and course start date, then routed for approval as shown below.</w:t>
      </w:r>
    </w:p>
    <w:p>
      <w:pPr>
        <w:jc w:val="center"/>
      </w:pPr>
      <w:r>
        <w:t>[[DIAGRAM:refund]]</w:t>
      </w:r>
    </w:p>
    <w:p>
      <w:pPr>
        <w:pStyle w:val="Heading2"/>
      </w:pPr>
      <w:r>
        <w:t>A.11  Documentation, Record Keeping and Review of SOPs</w:t>
      </w:r>
    </w:p>
    <w:p>
      <w:pPr>
        <w:spacing w:after="160"/>
      </w:pPr>
      <w:r>
        <w:t>{{COMPANY_NAME}} maintains records of registrations, attendance, assessments and evaluations in line with SSG retention requirements. These Standard Operating Procedures are reviewed at least annually, or when there is a material change in regulations or operations, by {{OWNER_NAME}}.</w:t>
      </w:r>
    </w:p>
    <w:p>
      <w:r>
        <w:br w:type="page"/>
      </w:r>
    </w:p>
    <w:p>
      <w:pPr>
        <w:pStyle w:val="Heading1"/>
      </w:pPr>
      <w:r>
        <w:t>B. Training Quality</w:t>
      </w:r>
    </w:p>
    <w:p>
      <w:pPr>
        <w:pStyle w:val="Heading2"/>
      </w:pPr>
      <w:r>
        <w:t>B.12  Trainer Management and Processes</w:t>
      </w:r>
    </w:p>
    <w:p>
      <w:pPr>
        <w:spacing w:after="160"/>
      </w:pPr>
      <w:r>
        <w:t>{{COMPANY_NAME}} recruits, on-boards and evaluates trainers and assessors against defined competency criteria. Trainer performance is monitored through course evaluations; where a performance issue is identified, the following process applies.</w:t>
      </w:r>
    </w:p>
    <w:p>
      <w:pPr>
        <w:jc w:val="center"/>
      </w:pPr>
      <w:r>
        <w:t>[[DIAGRAM:trainer_performance]]</w:t>
      </w:r>
    </w:p>
    <w:p>
      <w:pPr>
        <w:pStyle w:val="Heading2"/>
      </w:pPr>
      <w:r>
        <w:t>B.13  Content Design and Development and Processes</w:t>
      </w:r>
    </w:p>
    <w:p>
      <w:pPr>
        <w:spacing w:after="160"/>
      </w:pPr>
      <w:r>
        <w:t>Course content is designed and developed with reference to industry and sector needs, learning outcomes and SSG curriculum requirements. Materials undergo pre-delivery and post-delivery evaluation to ensure relevance and quality.</w:t>
      </w:r>
    </w:p>
    <w:p>
      <w:r>
        <w:br w:type="page"/>
      </w:r>
    </w:p>
    <w:p>
      <w:pPr>
        <w:pStyle w:val="Heading1"/>
      </w:pPr>
      <w:r>
        <w:t>C. Training Outcomes</w:t>
      </w:r>
    </w:p>
    <w:p>
      <w:pPr>
        <w:pStyle w:val="Heading2"/>
      </w:pPr>
      <w:r>
        <w:t>C.14  Outcome Evaluation, Data Collection and Analysis</w:t>
      </w:r>
    </w:p>
    <w:p>
      <w:pPr>
        <w:spacing w:after="160"/>
      </w:pPr>
      <w:r>
        <w:t>{{COMPANY_NAME}} collects and analyses training outcome data across reaction (L1), learning (L2), behaviour (L3) and results (L4) levels to evaluate the effectiveness of its programmes.</w:t>
      </w:r>
    </w:p>
    <w:p>
      <w:pPr>
        <w:pStyle w:val="Heading2"/>
      </w:pPr>
      <w:r>
        <w:t>C.15  Recommendations and Follow-Up</w:t>
      </w:r>
    </w:p>
    <w:p>
      <w:pPr>
        <w:spacing w:after="160"/>
      </w:pPr>
      <w:r>
        <w:t>Findings from outcome evaluation are reviewed by management, and recommendations are implemented and tracked to drive continuous improvement of {{COMPANY_NAME}}'s training quality and service.</w:t>
      </w:r>
    </w:p>
    <w:p>
      <w:r>
        <w:br w:type="page"/>
      </w:r>
    </w:p>
    <w:p>
      <w:pPr>
        <w:pStyle w:val="Heading1"/>
      </w:pPr>
      <w:r>
        <w:t>D. Annex Summary</w:t>
      </w:r>
    </w:p>
    <w:p>
      <w:pPr>
        <w:spacing w:after="160"/>
      </w:pPr>
      <w:r>
        <w:t>The following annex templates support these SOPs and are maintained by {{COMPANY_NAME}}:</w:t>
      </w:r>
    </w:p>
    <w:p>
      <w:pPr>
        <w:pStyle w:val="ListBullet"/>
      </w:pPr>
      <w:r>
        <w:t>Annex 1  Course Registration Form</w:t>
      </w:r>
    </w:p>
    <w:p>
      <w:pPr>
        <w:pStyle w:val="ListBullet"/>
      </w:pPr>
      <w:r>
        <w:t>Annex 2  Course Confirmation &amp; Agreement Template</w:t>
      </w:r>
    </w:p>
    <w:p>
      <w:pPr>
        <w:pStyle w:val="ListBullet"/>
      </w:pPr>
      <w:r>
        <w:t>Annex 3  Attendance Sheet Template</w:t>
      </w:r>
    </w:p>
    <w:p>
      <w:pPr>
        <w:pStyle w:val="ListBullet"/>
      </w:pPr>
      <w:r>
        <w:t>Annex 4  Refund Process</w:t>
      </w:r>
    </w:p>
    <w:p>
      <w:pPr>
        <w:pStyle w:val="ListBullet"/>
      </w:pPr>
      <w:r>
        <w:t>Annex 5  Review of Assessment Appeal Case Form</w:t>
      </w:r>
    </w:p>
    <w:p>
      <w:pPr>
        <w:pStyle w:val="ListBullet"/>
      </w:pPr>
      <w:r>
        <w:t>Annex 6  Assessment Appeal Procedure</w:t>
      </w:r>
    </w:p>
    <w:p>
      <w:pPr>
        <w:pStyle w:val="ListBullet"/>
      </w:pPr>
      <w:r>
        <w:t>Annex 7  Interview / Selection Evaluation Form for Trainer / Assessor</w:t>
      </w:r>
    </w:p>
    <w:p>
      <w:pPr>
        <w:pStyle w:val="ListBullet"/>
      </w:pPr>
      <w:r>
        <w:t>Annex 8  Trainer / Assessor &amp; Developer Competency Checklists</w:t>
      </w:r>
    </w:p>
    <w:p>
      <w:pPr>
        <w:pStyle w:val="ListBullet"/>
      </w:pPr>
      <w:r>
        <w:t>Annex 9  Course Evaluation Forms (L1-L4) and Consolidated Reports</w:t>
      </w:r>
    </w:p>
    <w:p>
      <w:pPr>
        <w:pStyle w:val="ListBullet"/>
      </w:pPr>
      <w:r>
        <w:t>Annex 10 Minutes of Meeting Template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{{COMPANY_NAME}}  |  Internal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