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4A2394">
      <w:pPr>
        <w:keepNext w:val="0"/>
        <w:keepLines w:val="0"/>
        <w:widowControl/>
        <w:suppressLineNumbers w:val="0"/>
        <w:jc w:val="left"/>
      </w:pPr>
      <w:r>
        <w:rPr>
          <w:rStyle w:val="5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555555"/>
          <w:spacing w:val="0"/>
          <w:kern w:val="0"/>
          <w:sz w:val="28"/>
          <w:szCs w:val="28"/>
          <w:u w:val="none"/>
          <w:lang w:val="en-US" w:eastAsia="zh-CN" w:bidi="ar"/>
        </w:rPr>
        <w:t>SLGP7007 Governance and Policy for Sustainability Transition</w:t>
      </w:r>
    </w:p>
    <w:p w14:paraId="756ED7D0">
      <w:pPr>
        <w:rPr>
          <w:rFonts w:hint="default"/>
          <w:lang w:val="en-US" w:eastAsia="zh-CN"/>
        </w:rPr>
      </w:pPr>
      <w:bookmarkStart w:id="0" w:name="_GoBack"/>
      <w:bookmarkEnd w:id="0"/>
    </w:p>
    <w:p w14:paraId="0B114D4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 think this</w:t>
      </w:r>
      <w:r>
        <w:rPr>
          <w:rFonts w:hint="default"/>
          <w:lang w:val="en-US" w:eastAsia="zh-CN"/>
        </w:rPr>
        <w:t xml:space="preserve"> is a mix mode with Network/Market and Hierarchy governance work together.</w:t>
      </w:r>
    </w:p>
    <w:p w14:paraId="6C75D0B2">
      <w:pPr>
        <w:rPr>
          <w:rFonts w:hint="default"/>
          <w:lang w:val="en-US" w:eastAsia="zh-CN"/>
        </w:rPr>
      </w:pPr>
    </w:p>
    <w:p w14:paraId="6442B7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It started with Network Governance.</w:t>
      </w:r>
    </w:p>
    <w:p w14:paraId="724F4078">
      <w:pPr>
        <w:rPr>
          <w:rFonts w:hint="default"/>
          <w:lang w:val="en-US" w:eastAsia="zh-CN"/>
        </w:rPr>
      </w:pPr>
    </w:p>
    <w:p w14:paraId="6C2964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NGOs, researchers, and civic groups (like Civic Exchange) first identified the problem.</w:t>
      </w:r>
    </w:p>
    <w:p w14:paraId="66AF28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They built a coalition, shared scientific evidence, and created public awareness.</w:t>
      </w:r>
    </w:p>
    <w:p w14:paraId="6F1D19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This set the agenda without government action.</w:t>
      </w:r>
    </w:p>
    <w:p w14:paraId="7E33BF08">
      <w:pPr>
        <w:rPr>
          <w:rFonts w:hint="default"/>
          <w:lang w:val="en-US" w:eastAsia="zh-CN"/>
        </w:rPr>
      </w:pPr>
    </w:p>
    <w:p w14:paraId="5FA3EF2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Then, Market-based tools were added with shipping company made a voluntary commitment.</w:t>
      </w:r>
    </w:p>
    <w:p w14:paraId="4453D8A1">
      <w:pPr>
        <w:rPr>
          <w:rFonts w:hint="default"/>
          <w:lang w:val="en-US" w:eastAsia="zh-CN"/>
        </w:rPr>
      </w:pPr>
    </w:p>
    <w:p w14:paraId="7783DD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Finally, hierarchy make it permanent, with laws and regulation be launched.</w:t>
      </w:r>
    </w:p>
    <w:p w14:paraId="16A03148">
      <w:pPr>
        <w:rPr>
          <w:rFonts w:hint="default"/>
          <w:lang w:val="en-US" w:eastAsia="zh-CN"/>
        </w:rPr>
      </w:pPr>
    </w:p>
    <w:p w14:paraId="2642CF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After the successful trial, the Hong Kong and Guangdong governments began formal cooperation.</w:t>
      </w:r>
    </w:p>
    <w:p w14:paraId="66E585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Laws were passed in Hong Kong, and China's national government authorized the creation of a mandatory Emission Control Area for the entire Pearl River Delta region.</w:t>
      </w:r>
    </w:p>
    <w:p w14:paraId="3822002A">
      <w:pPr>
        <w:rPr>
          <w:rFonts w:hint="default"/>
          <w:lang w:val="en-US" w:eastAsia="zh-CN"/>
        </w:rPr>
      </w:pPr>
    </w:p>
    <w:p w14:paraId="4D9B0F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 voluntary rule became a compulsory law.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FFE296"/>
    <w:rsid w:val="EFFFE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Emphasis"/>
    <w:basedOn w:val="4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33</TotalTime>
  <ScaleCrop>false</ScaleCrop>
  <LinksUpToDate>false</LinksUpToDate>
  <CharactersWithSpaces>0</CharactersWithSpaces>
  <Application>WPS Office_12.1.22218.22218_F1E327BC-269C-435d-A152-05C5408002CA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2026-01-19T20:30:00Z</dcterms:created>
  <dc:creator>Choi Wing 诗颖</dc:creator>
  <cp:lastModifiedBy>Choi Wing 诗颖</cp:lastModifiedBy>
  <dcterms:modified xsi:type="dcterms:W3CDTF">2026-01-19T21:03:54Z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2052-12.1.22218.22218</vt:lpwstr>
  </property>
  <property fmtid="{D5CDD505-2E9C-101B-9397-08002B2CF9AE}" pid="3" name="ICV">
    <vt:lpwstr>09649D0D4792DD56F1236E697835714F_41</vt:lpwstr>
  </property>
</Properties>
</file>