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One page summary of research proposal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Project Title</w:t>
      </w:r>
    </w:p>
    <w:p>
      <w:pPr/>
      <w:r>
        <w:rPr>
          <w:rFonts w:ascii="Helvetica Light" w:hAnsi="Helvetica Light" w:cs="Helvetica Light"/>
          <w:sz w:val="24"/>
          <w:sz-cs w:val="24"/>
        </w:rPr>
        <w:t xml:space="preserve">Exploring the Role of Banks in Improving Financial Retirement Planning through Bank-Led Financial Education Based on the CWO Framework: A Study of Private Sector Employees in Hong Kong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Core Question Background</w:t>
      </w:r>
    </w:p>
    <w:p>
      <w:pPr/>
      <w:r>
        <w:rPr>
          <w:rFonts w:ascii="Helvetica Light" w:hAnsi="Helvetica Light" w:cs="Helvetica Light"/>
          <w:sz w:val="24"/>
          <w:sz-cs w:val="24"/>
        </w:rPr>
        <w:t xml:space="preserve">Hong Kong's retirement system for most private sector employees is primarily built around the Mandatory Provident Fund (MPF), which provides only a basic institutional foundation for retirement protection rather than a guaranteed pension outcome (Mandatory Provident Fund Schemes Authority, 2023). By contrast, government servants receive pension protection under the Civil Service Pension Scheme (Civil Service Bureau, n.d.). This difference creates an important context for examining retirement planning among private sector employees, whose long-term financial security depends more heavily on their own planning decisions, savings behaviour, and use of financial services (Chou et al., 2014; Hershey et al., 2010).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of March 2025, approximately 94% of Hong Kong's workforce was employed in the private sector, while only a small proportion worked in the public sector (Census and Statistics Department, 2025). This makes private sector employees a highly relevant group for research on retirement planning. Existing evidence also suggests that many employees in Hong Kong believe their retirement savings are insufficient, and that financial preparedness remains a concern across income groups (Hwang, 2022). At the same time, banks are important actors in Hong Kong's financial system because they provide MPF-related services, savings products, investment options, and advisory channels that may influence how employees understand and approach retirement planning (Hong Kong Monetary Authority, 2023; Mandatory Provident Fund Schemes Authority, 2023).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Financial education is therefore a potentially important mechanism for improving retirement preparedness. However, the role of banks in delivering retirement-related financial education in Hong Kong has not yet been sufficiently examined, especially in relation to how employees perceive banks, what kind of support they expect, and whether bank-led education can address the barriers they face in retirement planning. This study focuses on private sector employees in Hong Kong and excludes government employees and self-employed individuals because these groups operate under different retirement arrangements and planning conditions.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Research Questions</w:t>
      </w:r>
    </w:p>
    <w:p>
      <w:pPr/>
      <w:r>
        <w:rPr>
          <w:rFonts w:ascii="Helvetica Light" w:hAnsi="Helvetica Light" w:cs="Helvetica Light"/>
          <w:sz w:val="24"/>
          <w:sz-cs w:val="24"/>
        </w:rPr>
        <w:t xml:space="preserve">This study aims to examine how bank-led financial education relates to financial retirement planning among private sector employees in Hong Kong and how the CWO framework can be used to structure that analysis. The research questions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How do Capability, Willingness, and Opportunity relate to retirement planning among Hong Kong private sector employees?</w:t>
      </w:r>
    </w:p>
    <w:p>
      <w:pPr/>
      <w:r>
        <w:rPr>
          <w:rFonts w:ascii="Helvetica Light" w:hAnsi="Helvetica Light" w:cs="Helvetica Light"/>
          <w:sz w:val="24"/>
          <w:sz-cs w:val="24"/>
        </w:rPr>
        <w:t xml:space="preserve">How do private sector employees perceive the role of banks in financial education for retirement planning, and what kind of role do they expect banks to play?</w:t>
      </w:r>
    </w:p>
    <w:p>
      <w:pPr/>
      <w:r>
        <w:rPr>
          <w:rFonts w:ascii="Helvetica Light" w:hAnsi="Helvetica Light" w:cs="Helvetica Light"/>
          <w:sz w:val="24"/>
          <w:sz-cs w:val="24"/>
        </w:rPr>
        <w:t xml:space="preserve">What financial education practices should banks adopt to better address capability-related, willingness-related, and opportunity-related barriers?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research questions are explicitly aligned with the CWO framework. The first question examines retirement planning through the three dimensions of capability, willingness, and opportunity. The second question focuses on how employees perceive banks within these dimensions, especially in relation to trust, accessibility, and relevance. The third question uses the findings from the first two questions to identify how banks can design financial education practices that respond to specific CWO-related barriers. This structure ensures that the research questions, data collection, and practical recommendations are conceptually connected.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Research Objectives</w:t>
      </w:r>
    </w:p>
    <w:p>
      <w:pPr/>
      <w:r>
        <w:rPr>
          <w:rFonts w:ascii="Helvetica Light" w:hAnsi="Helvetica Light" w:cs="Helvetica Light"/>
          <w:sz w:val="24"/>
          <w:sz-cs w:val="24"/>
        </w:rPr>
        <w:t xml:space="preserve">The study aims to examine how bank-led financial education relates to retirement planning among Hong Kong private sector employees and how the CWO framework can be used to structure the study.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Specifically, the research seeks to:</w:t>
      </w:r>
    </w:p>
    <w:p>
      <w:pPr/>
      <w:r>
        <w:rPr>
          <w:rFonts w:ascii="Helvetica Light" w:hAnsi="Helvetica Light" w:cs="Helvetica Light"/>
          <w:sz w:val="24"/>
          <w:sz-cs w:val="24"/>
        </w:rPr>
        <w:t xml:space="preserve">identify how private sector employees understand retirement planning and bank-led financial education;</w:t>
      </w:r>
    </w:p>
    <w:p>
      <w:pPr/>
      <w:r>
        <w:rPr>
          <w:rFonts w:ascii="Helvetica Light" w:hAnsi="Helvetica Light" w:cs="Helvetica Light"/>
          <w:sz w:val="24"/>
          <w:sz-cs w:val="24"/>
        </w:rPr>
        <w:t xml:space="preserve">examine the main gaps between employees' expectations and the kind of support banks currently provide;</w:t>
      </w:r>
    </w:p>
    <w:p>
      <w:pPr/>
      <w:r>
        <w:rPr>
          <w:rFonts w:ascii="Helvetica Light" w:hAnsi="Helvetica Light" w:cs="Helvetica Light"/>
          <w:sz w:val="24"/>
          <w:sz-cs w:val="24"/>
        </w:rPr>
        <w:t xml:space="preserve">use the CWO framework to organize the survey and interview design;</w:t>
      </w:r>
    </w:p>
    <w:p>
      <w:pPr/>
      <w:r>
        <w:rPr>
          <w:rFonts w:ascii="Helvetica Light" w:hAnsi="Helvetica Light" w:cs="Helvetica Light"/>
          <w:sz w:val="24"/>
          <w:sz-cs w:val="24"/>
        </w:rPr>
        <w:t xml:space="preserve">clarify what role banks are expected to play as retirement educators, information providers, and access points for financial guidance; and</w:t>
      </w:r>
    </w:p>
    <w:p>
      <w:pPr/>
      <w:r>
        <w:rPr>
          <w:rFonts w:ascii="Helvetica Light" w:hAnsi="Helvetica Light" w:cs="Helvetica Light"/>
          <w:sz w:val="24"/>
          <w:sz-cs w:val="24"/>
        </w:rPr>
        <w:t xml:space="preserve">generate practical recommendations for banks on how to design more relevant retirement-related financial education.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Importantly, this project does not claim to test a causal intervention effect. The current design is better suited to examining perceptions, relationships, and design implications than to proving that one intervention directly changes behaviour.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Core Concept / Conceptual Framework</w:t>
      </w:r>
    </w:p>
    <w:p>
      <w:pPr/>
      <w:r>
        <w:rPr>
          <w:rFonts w:ascii="Helvetica Light" w:hAnsi="Helvetica Light" w:cs="Helvetica Light"/>
          <w:sz w:val="24"/>
          <w:sz-cs w:val="24"/>
        </w:rPr>
        <w:t xml:space="preserve">The Capability-Willingness-Opportunity (CWO) framework provides the central conceptual lens for this study. It has been used in previous retirement-planning research to explain how behaviour is shaped by a combination of individual resources, motivational factors, and contextual conditions (Blumberg &amp; Pringle, 1982; Hershey et al., 2010; Bandara &amp; Durairatnam, 2025; Han &amp; Sang, 2024). In this study, the framework is used not only as background theory but also as the organizing structure for the whole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Capability refers to whether employees have the financial knowledge, practical skills, and confidence needed to understand retirement planning, evaluate options, and make informed decisions. Willingness refers to whether employees are motivated to plan for retirement, trust the information source, and feel ready to take action. Opportunity refers to whether external conditions support or constrain retirement planning, including access to information, time, workplace support, language, and the availability of usable financial channels.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CWO framework will directly shape the formulation of the research questions, the design of the questionnaire, the development of the interview guide, and the interpretation of the findings. Research Question 1 focuses directly on the three CWO dimensions. Research Question 2 extends the framework by examining whether banks are perceived as credible, accessible, and relevant providers of retirement-related education. Research Question 3 builds on the findings of the first two questions to identify what forms of bank-led financial education are most appropriate for addressing capability-related, willingness-related, and opportunity-related barriers.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alignment also shapes the research instruments. In the quantitative phase, survey items will be grouped around the three CWO dimensions. Capability-related items will examine retirement knowledge, financial literacy, and self-confidence in making retirement decisions. Willingness-related items will examine motivation to plan, trust in banks, and readiness to act. Opportunity-related items will examine access to information, digital channels, workplace support, and other external conditions that may enable or constrain retirement planning. In the qualitative phase, interview questions will explore how participants interpret these barriers in everyday life and what forms of bank-led support they consider realistic, useful, and trustworthy. In this way, the CWO framework helps structure both the project and the design of the research questions in a coherent and applied manner.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Methodology</w:t>
      </w:r>
    </w:p>
    <w:p>
      <w:pPr/>
      <w:r>
        <w:rPr>
          <w:rFonts w:ascii="Helvetica Light" w:hAnsi="Helvetica Light" w:cs="Helvetica Light"/>
          <w:sz w:val="24"/>
          <w:sz-cs w:val="24"/>
        </w:rPr>
        <w:t xml:space="preserve">This study adopts a mixed-methods design combining quantitative and qualitative research among private sector employees in Hong Kong. Quantitative data will identify the overall pattern of relationships among CWO dimensions, retirement planning, and perceptions of bank-led financial education, while qualitative data will help explain why those patterns appear and what they mean in practice (Amabile, 2019).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Quantitative Phase</w:t>
      </w:r>
    </w:p>
    <w:p>
      <w:pPr/>
      <w:r>
        <w:rPr>
          <w:rFonts w:ascii="Helvetica Light" w:hAnsi="Helvetica Light" w:cs="Helvetica Light"/>
          <w:sz w:val="24"/>
          <w:sz-cs w:val="24"/>
        </w:rPr>
        <w:t xml:space="preserve">This study employs a cross-sectional survey design to examine the relationship between CWO dimensions and financial retirement planning behaviours, as well as perceptions of bank-led financial education among private sector employees in Hong Kong. G*Power will be used to estimate the minimum sample size for multiple regression. Using a significance level of alpha = 0.05, a statistical power threshold of 0.80, four predictor variables, and an effect size of f2 = 0.15, the required sample is estimated at approximately 100 respondents (Gefen et al., 2011). Data will be collected through online survey distribution over four to six weeks using community networks, workplace connections, and online channels relevant to the target population.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questionnaire will be developed through a CWO-based structure. Each section of the survey will correspond to one or more CWO dimensions so that the collected data can be analysed directly in relation to the research questions. The quantitative data will be processed through editing, coding, and classification, followed by descriptive statistical analysis using SPSS or R. Structural relationships may then be examined using PLS-SEM in SmartPLS 4.0.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Qualitative Phase</w:t>
      </w:r>
    </w:p>
    <w:p>
      <w:pPr/>
      <w:r>
        <w:rPr>
          <w:rFonts w:ascii="Helvetica Light" w:hAnsi="Helvetica Light" w:cs="Helvetica Light"/>
          <w:sz w:val="24"/>
          <w:sz-cs w:val="24"/>
        </w:rPr>
        <w:t xml:space="preserve">The second phase uses semi-structured in-depth interviews to explore employees' lived experiences, perceptions of retirement planning, and expectations of banks in more detail. This phase is necessary because retirement planning is shaped not only by measurable variables, but also by trust, habits, experience, and personal context (Amabile, 2019). The interview guide will also follow a CWO-based structure so that the qualitative findings can explain the survey patterns and refine the practical recommendations for banks.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study uses purposive sampling to select respondents from different industries and job levels (Patton, 1990). Interviews are expected to last 60 to 120 minutes. Regarding sample size, this study draws on the principle of saturation and information power and expects to conduct approximately 10 in-depth interviews (Glaser &amp; Strauss, 1967; Guest et al., 2006; Malterud et al., 2016; Mason, 2010). A small number of focus groups may also be used as a supplementary method to capture group interaction and shared views on retirement-planning barriers and the role of banks (Krueger &amp; Casey, 2009; Morgan, 1996).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Ethical Consideration</w:t>
      </w:r>
    </w:p>
    <w:p>
      <w:pPr/>
      <w:r>
        <w:rPr>
          <w:rFonts w:ascii="Helvetica Light" w:hAnsi="Helvetica Light" w:cs="Helvetica Light"/>
          <w:sz w:val="24"/>
          <w:sz-cs w:val="24"/>
        </w:rPr>
        <w:t xml:space="preserve">The study will avoid collecting personally identifiable information. Participants will be informed that participation is voluntary and that they may withdraw at any time. Because the target population may include speakers of different languages, questionnaire and interview materials may need to be translated carefully to reduce cultural and linguistic bias (Kim &amp; Han, 2004). Data will be stored securely and handled in encrypted form where appropriate.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Potential Deliverable</w:t>
      </w:r>
    </w:p>
    <w:p>
      <w:pPr/>
      <w:r>
        <w:rPr>
          <w:rFonts w:ascii="Helvetica Light" w:hAnsi="Helvetica Light" w:cs="Helvetica Light"/>
          <w:sz w:val="24"/>
          <w:sz-cs w:val="24"/>
        </w:rPr>
        <w:t xml:space="preserve">7.1 Academic Thesis: documenting the research findings and implications of the CWO framework for bank-led financial education in Hong Kong before 30 June 2026.</w:t>
      </w:r>
    </w:p>
    <w:p>
      <w:pPr/>
      <w:r>
        <w:rPr>
          <w:rFonts w:ascii="Helvetica Light" w:hAnsi="Helvetica Light" w:cs="Helvetica Light"/>
          <w:sz w:val="24"/>
          <w:sz-cs w:val="24"/>
        </w:rPr>
        <w:t xml:space="preserve">7.2 Policy Toolkit for Banks: a practical package that includes suggestions for financial education design and a simple evaluation framework to assess whether the education is effective.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References</w:t>
      </w:r>
    </w:p>
    <w:p>
      <w:pPr/>
      <w:r>
        <w:rPr>
          <w:rFonts w:ascii="Helvetica Light" w:hAnsi="Helvetica Light" w:cs="Helvetica Light"/>
          <w:sz w:val="24"/>
          <w:sz-cs w:val="24"/>
        </w:rPr>
        <w:t xml:space="preserve">Amabile, T. M. (2019). Understanding retirement requires getting inside people's stories: A call for more qualitative research. Work, Aging and Retirement, 5(3), 207-211. https://doi.org/10.1093/workar/waz007</w:t>
      </w:r>
    </w:p>
    <w:p>
      <w:pPr/>
      <w:r>
        <w:rPr>
          <w:rFonts w:ascii="Helvetica Light" w:hAnsi="Helvetica Light" w:cs="Helvetica Light"/>
          <w:sz w:val="24"/>
          <w:sz-cs w:val="24"/>
        </w:rPr>
        <w:t xml:space="preserve">Bandara, S., &amp; Durairatnam, S. (2025). Financial planning for retirement among private sector employees in Sri Lankan financial institutions. Technium Social Sciences Journal, 67, 290-302. https://doi.org/10.47577/tssj.v67i1.12210</w:t>
      </w:r>
    </w:p>
    <w:p>
      <w:pPr/>
      <w:r>
        <w:rPr>
          <w:rFonts w:ascii="Helvetica Light" w:hAnsi="Helvetica Light" w:cs="Helvetica Light"/>
          <w:sz w:val="24"/>
          <w:sz-cs w:val="24"/>
        </w:rPr>
        <w:t xml:space="preserve">Blumberg, M., &amp; Pringle, C. D. (1982). The missing opportunity in organizational research: Some implications for a theory of work performance. Academy of Management Review, 7(4), 560-569. https://doi.org/10.2307/257222</w:t>
      </w:r>
    </w:p>
    <w:p>
      <w:pPr/>
      <w:r>
        <w:rPr>
          <w:rFonts w:ascii="Helvetica Light" w:hAnsi="Helvetica Light" w:cs="Helvetica Light"/>
          <w:sz w:val="24"/>
          <w:sz-cs w:val="24"/>
        </w:rPr>
        <w:t xml:space="preserve">Census and Statistics Department. (2025, June 20). Quarterly report of employment and vacancies statistics. https://www.censtatd.gov.hk/en/wbr.html?ecode=B10500032025QQ01</w:t>
      </w:r>
    </w:p>
    <w:p>
      <w:pPr/>
      <w:r>
        <w:rPr>
          <w:rFonts w:ascii="Helvetica Light" w:hAnsi="Helvetica Light" w:cs="Helvetica Light"/>
          <w:sz w:val="24"/>
          <w:sz-cs w:val="24"/>
        </w:rPr>
        <w:t xml:space="preserve">Chou, K.-L., Yu, K.-M., Chan, W.-S., Chan, A. C. M., Lum, T. Y. S., &amp; Zhu, A. Y. F. (2014). Social and psychological barriers to private retirement savings in Hong Kong. Journal of Aging &amp; Social Policy, 26(4), 308-323. https://doi.org/10.1080/08959420.2014.939840</w:t>
      </w:r>
    </w:p>
    <w:p>
      <w:pPr/>
      <w:r>
        <w:rPr>
          <w:rFonts w:ascii="Helvetica Light" w:hAnsi="Helvetica Light" w:cs="Helvetica Light"/>
          <w:sz w:val="24"/>
          <w:sz-cs w:val="24"/>
        </w:rPr>
        <w:t xml:space="preserve">Civil Service Bureau. (n.d.). Civil service pension schemes. https://www.csb.gov.hk/english/admin/retirement/184.html</w:t>
      </w:r>
    </w:p>
    <w:p>
      <w:pPr/>
      <w:r>
        <w:rPr>
          <w:rFonts w:ascii="Helvetica Light" w:hAnsi="Helvetica Light" w:cs="Helvetica Light"/>
          <w:sz w:val="24"/>
          <w:sz-cs w:val="24"/>
        </w:rPr>
        <w:t xml:space="preserve">Gefen, D., Rigdon, E. E., &amp; Straub, D. (2011). Editor's comments: An update and extension to SEM guidelines for administrative and social science research. MIS Quarterly, 35(2), iii-xiv. https://doi.org/10.2307/23044042</w:t>
      </w:r>
    </w:p>
    <w:p>
      <w:pPr/>
      <w:r>
        <w:rPr>
          <w:rFonts w:ascii="Helvetica Light" w:hAnsi="Helvetica Light" w:cs="Helvetica Light"/>
          <w:sz w:val="24"/>
          <w:sz-cs w:val="24"/>
        </w:rPr>
        <w:t xml:space="preserve">Glaser, B. G., &amp; Strauss, A. L. (1967). The discovery of grounded theory: Strategies for qualitative research. Aldine Publishing Company.</w:t>
      </w:r>
    </w:p>
    <w:p>
      <w:pPr/>
      <w:r>
        <w:rPr>
          <w:rFonts w:ascii="Helvetica Light" w:hAnsi="Helvetica Light" w:cs="Helvetica Light"/>
          <w:sz w:val="24"/>
          <w:sz-cs w:val="24"/>
        </w:rPr>
        <w:t xml:space="preserve">Guest, G., Bunce, A., &amp; Johnson, L. (2006). How many interviews are enough?: An experiment with data saturation and variability. Field Methods, 18(1), 59-82. https://doi.org/10.1177/1525822X05279903</w:t>
      </w:r>
    </w:p>
    <w:p>
      <w:pPr/>
      <w:r>
        <w:rPr>
          <w:rFonts w:ascii="Helvetica Light" w:hAnsi="Helvetica Light" w:cs="Helvetica Light"/>
          <w:sz w:val="24"/>
          <w:sz-cs w:val="24"/>
        </w:rPr>
        <w:t xml:space="preserve">Hershey, D. A., Henkens, K., &amp; Van Dalen, H. P. (2010). Aging and financial planning for retirement: Interdisciplinary influences viewed through a cross-cultural lens. International Journal of Aging &amp; Human Development, 70(1), 1-38. https://doi.org/10.2190/AG.70.1.a</w:t>
      </w:r>
    </w:p>
    <w:p>
      <w:pPr/>
      <w:r>
        <w:rPr>
          <w:rFonts w:ascii="Helvetica Light" w:hAnsi="Helvetica Light" w:cs="Helvetica Light"/>
          <w:sz w:val="24"/>
          <w:sz-cs w:val="24"/>
        </w:rPr>
        <w:t xml:space="preserve">Hong Kong Monetary Authority. (2023). Annual report 2022. https://www.hkma.gov.hk/eng/data-publications-and-research/publications/annual-report/2022/</w:t>
      </w:r>
    </w:p>
    <w:p>
      <w:pPr/>
      <w:r>
        <w:rPr>
          <w:rFonts w:ascii="Helvetica Light" w:hAnsi="Helvetica Light" w:cs="Helvetica Light"/>
          <w:sz w:val="24"/>
          <w:sz-cs w:val="24"/>
        </w:rPr>
        <w:t xml:space="preserve">Hwang, E. (2022, September 26). Do you have enough retirement savings? WTW. https://www.wtwco.com/en-hk/insights/2022/09/do-you-have-enough-retirement-savings</w:t>
      </w:r>
    </w:p>
    <w:p>
      <w:pPr/>
      <w:r>
        <w:rPr>
          <w:rFonts w:ascii="Helvetica Light" w:hAnsi="Helvetica Light" w:cs="Helvetica Light"/>
          <w:sz w:val="24"/>
          <w:sz-cs w:val="24"/>
        </w:rPr>
        <w:t xml:space="preserve">Kim, M. T., &amp; Han, H.-R. (2004). Cultural considerations in research instrumentation development. In M. Frank-Stromborg &amp; S. J. Olsen (Eds.), Instruments for clinical health-care research (3rd ed., pp. 73-80). Jones &amp; Bartlett Publishers.</w:t>
      </w:r>
    </w:p>
    <w:p>
      <w:pPr/>
      <w:r>
        <w:rPr>
          <w:rFonts w:ascii="Helvetica Light" w:hAnsi="Helvetica Light" w:cs="Helvetica Light"/>
          <w:sz w:val="24"/>
          <w:sz-cs w:val="24"/>
        </w:rPr>
        <w:t xml:space="preserve">Krueger, R. A., &amp; Casey, M. A. (2009). Focus groups: A practical guide for applied research (4th ed.). SAGE.</w:t>
      </w:r>
    </w:p>
    <w:p>
      <w:pPr/>
      <w:r>
        <w:rPr>
          <w:rFonts w:ascii="Helvetica Light" w:hAnsi="Helvetica Light" w:cs="Helvetica Light"/>
          <w:sz w:val="24"/>
          <w:sz-cs w:val="24"/>
        </w:rPr>
        <w:t xml:space="preserve">Malterud, K., Siersma, V. D., &amp; Guassora, A. D. (2016). Sample size in qualitative interview studies: Guided by information power. Qualitative Health Research, 26(13), 1753-1760. https://doi.org/10.1177/1049732315617444</w:t>
      </w:r>
    </w:p>
    <w:p>
      <w:pPr/>
      <w:r>
        <w:rPr>
          <w:rFonts w:ascii="Helvetica Light" w:hAnsi="Helvetica Light" w:cs="Helvetica Light"/>
          <w:sz w:val="24"/>
          <w:sz-cs w:val="24"/>
        </w:rPr>
        <w:t xml:space="preserve">Mandatory Provident Fund Schemes Authority. (2023). Annual report 2022-23. https://www.mpfa.org.hk/en/info-centre/publications-articles/annual-reports/annual-report-2022-23</w:t>
      </w:r>
    </w:p>
    <w:p>
      <w:pPr/>
      <w:r>
        <w:rPr>
          <w:rFonts w:ascii="Helvetica Light" w:hAnsi="Helvetica Light" w:cs="Helvetica Light"/>
          <w:sz w:val="24"/>
          <w:sz-cs w:val="24"/>
        </w:rPr>
        <w:t xml:space="preserve">Mason, M. (2010). Sample size and saturation in PhD studies using qualitative interviews. Forum Qualitative Sozialforschung/Forum: Qualitative Social Research, 11(3), Art. 8. https://doi.org/10.17169/fqs-11.3.1428</w:t>
      </w:r>
    </w:p>
    <w:p>
      <w:pPr/>
      <w:r>
        <w:rPr>
          <w:rFonts w:ascii="Helvetica Light" w:hAnsi="Helvetica Light" w:cs="Helvetica Light"/>
          <w:sz w:val="24"/>
          <w:sz-cs w:val="24"/>
        </w:rPr>
        <w:t xml:space="preserve">Morgan, D. L. (1996). Focus groups. Annual Review of Sociology, 22(1), 129-152. https://doi.org/10.1146/annurev.soc.22.1.129</w:t>
      </w:r>
    </w:p>
    <w:p>
      <w:pPr/>
      <w:r>
        <w:rPr>
          <w:rFonts w:ascii="Helvetica Light" w:hAnsi="Helvetica Light" w:cs="Helvetica Light"/>
          <w:sz w:val="24"/>
          <w:sz-cs w:val="24"/>
        </w:rPr>
        <w:t xml:space="preserve">Patton, M. Q. (1990). Qualitative evaluation and research methods (2nd ed.). Sage Publications.</w:t>
      </w:r>
    </w:p>
    <w:p>
      <w:pPr/>
      <w:r>
        <w:rPr>
          <w:rFonts w:ascii="Helvetica Light" w:hAnsi="Helvetica Light" w:cs="Helvetica Light"/>
          <w:sz w:val="24"/>
          <w:sz-cs w:val="24"/>
        </w:rPr>
        <w:t xml:space="preserve">Han, R., &amp; Sang, L. T. (2024). A research proposal to examine psychological factors that influence financial planning for retirement in China. Global Journal of Business, Economics and Management: Current Issues, 14(1), 49-69. https://doi.org/10.18844/gjbem.v14i1.9355</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