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Product Requirements Document</w:t>
      </w:r>
    </w:p>
    <w:p>
      <w:pPr>
        <w:spacing w:after="60"/>
      </w:pPr>
      <w:r>
        <w:rPr>
          <w:b/>
          <w:bCs/>
          <w:color w:val="1A2744"/>
          <w:sz w:val="32"/>
          <w:szCs w:val="32"/>
        </w:rPr>
        <w:t xml:space="preserve">Admissions Lead Tracker</w:t>
      </w:r>
    </w:p>
    <w:p>
      <w:pPr>
        <w:spacing w:after="140"/>
      </w:pPr>
      <w:r>
        <w:rPr>
          <w:i/>
          <w:iCs/>
          <w:color w:val="666666"/>
        </w:rPr>
        <w:t xml:space="preserve">AB Talks 60-Day Claude AI Challenge — 10-Day Capstone Project</w:t>
      </w:r>
    </w:p>
    <w:p>
      <w:pPr>
        <w:spacing w:after="140"/>
      </w:pPr>
      <w:r>
        <w:rPr>
          <w:color w:val="666666"/>
        </w:rPr>
        <w:t xml:space="preserve">Version 1.0  |  Day 1 of 10  |  Prepared by Alfred</w:t>
      </w:r>
    </w:p>
    <w:p>
      <w:pPr>
        <w:pStyle w:val="Heading1"/>
        <w:spacing w:after="160" w:before="360"/>
      </w:pPr>
      <w:r>
        <w:t xml:space="preserve">1. Overview</w:t>
      </w:r>
    </w:p>
    <w:p>
      <w:pPr>
        <w:spacing w:after="140"/>
      </w:pPr>
      <w:r>
        <w:t xml:space="preserve">The Admissions Lead Tracker is a single-user, browser-based tool that helps CBSE school admissions staff track every inquiry from first phone call through final admission decision. It replaces a manual paper register with a lightweight digital funnel, and its core purpose is to guarantee that no lead is ever forgotten by surfacing exactly who needs a follow-up call today.</w:t>
      </w:r>
    </w:p>
    <w:p>
      <w:pPr>
        <w:pStyle w:val="Heading1"/>
        <w:spacing w:after="160" w:before="360"/>
      </w:pPr>
      <w:r>
        <w:t xml:space="preserve">2. Problem Statement</w:t>
      </w:r>
    </w:p>
    <w:p>
      <w:pPr>
        <w:spacing w:after="140"/>
      </w:pPr>
      <w:r>
        <w:t xml:space="preserve">Admissions staff at CBSE schools in markets like Patna currently log inquiries by hand in a notebook when parents call about admission. As inquiry volume grows during the admission season, staff lose track of which leads need a follow-up call, which have gone cold, and where each family stands in the admissions process. This results in missed follow-ups, lost potential admissions, and no clear picture of the admissions funnel.</w:t>
      </w:r>
    </w:p>
    <w:p>
      <w:pPr>
        <w:pStyle w:val="Heading1"/>
        <w:spacing w:after="160" w:before="360"/>
      </w:pPr>
      <w:r>
        <w:t xml:space="preserve">3. Target User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1A27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50"/>
            <w:shd w:fill="1A27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</w:tcPr>
          <w:p>
            <w:r>
              <w:rPr>
                <w:color w:val="222222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350"/>
          </w:tcPr>
          <w:p>
            <w:r>
              <w:rPr>
                <w:color w:val="222222"/>
                <w:sz w:val="20"/>
                <w:szCs w:val="20"/>
              </w:rPr>
              <w:t xml:space="preserve">A single school admissions administrator (not parents or students)</w:t>
            </w:r>
          </w:p>
        </w:tc>
      </w:tr>
      <w:tr>
        <w:tc>
          <w:tcPr>
            <w:tcW w:type="dxa" w:w="3000"/>
          </w:tcPr>
          <w:p>
            <w:r>
              <w:rPr>
                <w:color w:val="222222"/>
                <w:sz w:val="20"/>
                <w:szCs w:val="20"/>
              </w:rPr>
              <w:t xml:space="preserve">Context</w:t>
            </w:r>
          </w:p>
        </w:tc>
        <w:tc>
          <w:tcPr>
            <w:tcW w:type="dxa" w:w="6350"/>
          </w:tcPr>
          <w:p>
            <w:r>
              <w:rPr>
                <w:color w:val="222222"/>
                <w:sz w:val="20"/>
                <w:szCs w:val="20"/>
              </w:rPr>
              <w:t xml:space="preserve">CBSE school, Patna/Bihar market</w:t>
            </w:r>
          </w:p>
        </w:tc>
      </w:tr>
      <w:tr>
        <w:tc>
          <w:tcPr>
            <w:tcW w:type="dxa" w:w="3000"/>
          </w:tcPr>
          <w:p>
            <w:r>
              <w:rPr>
                <w:color w:val="222222"/>
                <w:sz w:val="20"/>
                <w:szCs w:val="20"/>
              </w:rPr>
              <w:t xml:space="preserve">Volume</w:t>
            </w:r>
          </w:p>
        </w:tc>
        <w:tc>
          <w:tcPr>
            <w:tcW w:type="dxa" w:w="6350"/>
          </w:tcPr>
          <w:p>
            <w:r>
              <w:rPr>
                <w:color w:val="222222"/>
                <w:sz w:val="20"/>
                <w:szCs w:val="20"/>
              </w:rPr>
              <w:t xml:space="preserve">Under 100 admission inquiries per season</w:t>
            </w:r>
          </w:p>
        </w:tc>
      </w:tr>
      <w:tr>
        <w:tc>
          <w:tcPr>
            <w:tcW w:type="dxa" w:w="3000"/>
          </w:tcPr>
          <w:p>
            <w:r>
              <w:rPr>
                <w:color w:val="222222"/>
                <w:sz w:val="20"/>
                <w:szCs w:val="20"/>
              </w:rPr>
              <w:t xml:space="preserve">Device usage</w:t>
            </w:r>
          </w:p>
        </w:tc>
        <w:tc>
          <w:tcPr>
            <w:tcW w:type="dxa" w:w="6350"/>
          </w:tcPr>
          <w:p>
            <w:r>
              <w:rPr>
                <w:color w:val="222222"/>
                <w:sz w:val="20"/>
                <w:szCs w:val="20"/>
              </w:rPr>
              <w:t xml:space="preserve">One admin, one device — no multi-user or shared-login requirement</w:t>
            </w:r>
          </w:p>
        </w:tc>
      </w:tr>
      <w:tr>
        <w:tc>
          <w:tcPr>
            <w:tcW w:type="dxa" w:w="3000"/>
          </w:tcPr>
          <w:p>
            <w:r>
              <w:rPr>
                <w:color w:val="222222"/>
                <w:sz w:val="20"/>
                <w:szCs w:val="20"/>
              </w:rPr>
              <w:t xml:space="preserve">Current tool</w:t>
            </w:r>
          </w:p>
        </w:tc>
        <w:tc>
          <w:tcPr>
            <w:tcW w:type="dxa" w:w="6350"/>
          </w:tcPr>
          <w:p>
            <w:r>
              <w:rPr>
                <w:color w:val="222222"/>
                <w:sz w:val="20"/>
                <w:szCs w:val="20"/>
              </w:rPr>
              <w:t xml:space="preserve">Paper register / notebook, logged manually per phone call</w:t>
            </w:r>
          </w:p>
        </w:tc>
      </w:tr>
    </w:tbl>
    <w:p>
      <w:pPr>
        <w:pStyle w:val="Heading1"/>
        <w:spacing w:after="160" w:before="360"/>
      </w:pPr>
      <w:r>
        <w:t xml:space="preserve">4. Goals &amp; Success Metrics</w:t>
      </w:r>
    </w:p>
    <w:p>
      <w:pPr>
        <w:pStyle w:val="Heading2"/>
        <w:spacing w:after="120" w:before="260"/>
      </w:pPr>
      <w:r>
        <w:t xml:space="preserve">Primary Goal</w:t>
      </w:r>
    </w:p>
    <w:p>
      <w:pPr>
        <w:spacing w:after="140"/>
      </w:pPr>
      <w:r>
        <w:t xml:space="preserve">No admission lead is ever forgotten — every lead has a visible next follow-up date, and overdue leads are impossible to miss.</w:t>
      </w:r>
    </w:p>
    <w:p>
      <w:pPr>
        <w:pStyle w:val="Heading2"/>
        <w:spacing w:after="120" w:before="260"/>
      </w:pPr>
      <w:r>
        <w:t xml:space="preserve">Success Looks Like (Day 10)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live, deployed link the admin can open and use immediately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lead has a clear current stage and next follow-up 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dedicated dashboard shows exactly who to call today, with zero digging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tool is polished enough to realistically hand to a real school</w:t>
      </w:r>
    </w:p>
    <w:p>
      <w:pPr>
        <w:pStyle w:val="Heading1"/>
        <w:spacing w:after="160" w:before="360"/>
      </w:pPr>
      <w:r>
        <w:t xml:space="preserve">5. Scope — v1.0</w:t>
      </w:r>
    </w:p>
    <w:p>
      <w:pPr>
        <w:pStyle w:val="Heading2"/>
        <w:spacing w:after="120" w:before="260"/>
      </w:pPr>
      <w:r>
        <w:t xml:space="preserve">In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/ edit / delete a lead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 fields: name, phone number, grade applying for, next follow-up date,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5-stage funnel: Inquiry → Visit → Application → Test/Interview → Admitted/Rejected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Move a lead between stages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“Today's Follow-ups” dashboard — leads due today or overdue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Overdue visual flag (e.g., color coding) so nothing is missed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Funnel/pipeline view showing lead counts per stage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persistence via browser local storage (single device)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Polished, dark/premium UI consistent with prior app portfolio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Deployed, publicly accessible link</w:t>
      </w:r>
    </w:p>
    <w:p>
      <w:pPr>
        <w:pStyle w:val="Heading2"/>
        <w:spacing w:after="120" w:before="260"/>
      </w:pPr>
      <w:r>
        <w:t xml:space="preserve">Out of Scope for v1.0 (Explicitly Deferred)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Multi-user accounts, logins, or roles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 sync / shared data across devices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CSV/Excel import or export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SMS, WhatsApp, or email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Reporting/analytics beyond the basic funnel counts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Automated notifications (push, SMS) outside the in-app dashboard</w:t>
      </w:r>
    </w:p>
    <w:p>
      <w:pPr>
        <w:pStyle w:val="Heading1"/>
        <w:spacing w:after="160" w:before="360"/>
      </w:pPr>
      <w:r>
        <w:t xml:space="preserve">6. Functional Requirements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00"/>
        <w:gridCol w:w="1250"/>
      </w:tblGrid>
      <w:tr>
        <w:tc>
          <w:tcPr>
            <w:tcW w:type="dxa" w:w="1200"/>
            <w:shd w:fill="1A27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shd w:fill="1A27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50"/>
            <w:shd w:fill="1A27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</w:tcPr>
          <w:p>
            <w:r>
              <w:rPr>
                <w:color w:val="222222"/>
                <w:sz w:val="20"/>
                <w:szCs w:val="20"/>
              </w:rPr>
              <w:t xml:space="preserve">FR-1</w:t>
            </w:r>
          </w:p>
        </w:tc>
        <w:tc>
          <w:tcPr>
            <w:tcW w:type="dxa" w:w="6900"/>
          </w:tcPr>
          <w:p>
            <w:r>
              <w:rPr>
                <w:color w:val="222222"/>
                <w:sz w:val="20"/>
                <w:szCs w:val="20"/>
              </w:rPr>
              <w:t xml:space="preserve">User can add a new lead with name, phone, grade, follow-up date, notes</w:t>
            </w:r>
          </w:p>
        </w:tc>
        <w:tc>
          <w:tcPr>
            <w:tcW w:type="dxa" w:w="1250"/>
          </w:tcPr>
          <w:p>
            <w:r>
              <w:rPr>
                <w:color w:val="22222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</w:tcPr>
          <w:p>
            <w:r>
              <w:rPr>
                <w:color w:val="222222"/>
                <w:sz w:val="20"/>
                <w:szCs w:val="20"/>
              </w:rPr>
              <w:t xml:space="preserve">FR-2</w:t>
            </w:r>
          </w:p>
        </w:tc>
        <w:tc>
          <w:tcPr>
            <w:tcW w:type="dxa" w:w="6900"/>
          </w:tcPr>
          <w:p>
            <w:r>
              <w:rPr>
                <w:color w:val="222222"/>
                <w:sz w:val="20"/>
                <w:szCs w:val="20"/>
              </w:rPr>
              <w:t xml:space="preserve">User can edit any field of an existing lead</w:t>
            </w:r>
          </w:p>
        </w:tc>
        <w:tc>
          <w:tcPr>
            <w:tcW w:type="dxa" w:w="1250"/>
          </w:tcPr>
          <w:p>
            <w:r>
              <w:rPr>
                <w:color w:val="22222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</w:tcPr>
          <w:p>
            <w:r>
              <w:rPr>
                <w:color w:val="222222"/>
                <w:sz w:val="20"/>
                <w:szCs w:val="20"/>
              </w:rPr>
              <w:t xml:space="preserve">FR-3</w:t>
            </w:r>
          </w:p>
        </w:tc>
        <w:tc>
          <w:tcPr>
            <w:tcW w:type="dxa" w:w="6900"/>
          </w:tcPr>
          <w:p>
            <w:r>
              <w:rPr>
                <w:color w:val="222222"/>
                <w:sz w:val="20"/>
                <w:szCs w:val="20"/>
              </w:rPr>
              <w:t xml:space="preserve">User can delete a lead</w:t>
            </w:r>
          </w:p>
        </w:tc>
        <w:tc>
          <w:tcPr>
            <w:tcW w:type="dxa" w:w="1250"/>
          </w:tcPr>
          <w:p>
            <w:r>
              <w:rPr>
                <w:color w:val="22222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</w:tcPr>
          <w:p>
            <w:r>
              <w:rPr>
                <w:color w:val="222222"/>
                <w:sz w:val="20"/>
                <w:szCs w:val="20"/>
              </w:rPr>
              <w:t xml:space="preserve">FR-4</w:t>
            </w:r>
          </w:p>
        </w:tc>
        <w:tc>
          <w:tcPr>
            <w:tcW w:type="dxa" w:w="6900"/>
          </w:tcPr>
          <w:p>
            <w:r>
              <w:rPr>
                <w:color w:val="222222"/>
                <w:sz w:val="20"/>
                <w:szCs w:val="20"/>
              </w:rPr>
              <w:t xml:space="preserve">User can move a lead to any of the 5 funnel stages</w:t>
            </w:r>
          </w:p>
        </w:tc>
        <w:tc>
          <w:tcPr>
            <w:tcW w:type="dxa" w:w="1250"/>
          </w:tcPr>
          <w:p>
            <w:r>
              <w:rPr>
                <w:color w:val="22222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</w:tcPr>
          <w:p>
            <w:r>
              <w:rPr>
                <w:color w:val="222222"/>
                <w:sz w:val="20"/>
                <w:szCs w:val="20"/>
              </w:rPr>
              <w:t xml:space="preserve">FR-5</w:t>
            </w:r>
          </w:p>
        </w:tc>
        <w:tc>
          <w:tcPr>
            <w:tcW w:type="dxa" w:w="6900"/>
          </w:tcPr>
          <w:p>
            <w:r>
              <w:rPr>
                <w:color w:val="222222"/>
                <w:sz w:val="20"/>
                <w:szCs w:val="20"/>
              </w:rPr>
              <w:t xml:space="preserve">Dashboard lists leads whose follow-up date is today or earlier</w:t>
            </w:r>
          </w:p>
        </w:tc>
        <w:tc>
          <w:tcPr>
            <w:tcW w:type="dxa" w:w="1250"/>
          </w:tcPr>
          <w:p>
            <w:r>
              <w:rPr>
                <w:color w:val="22222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</w:tcPr>
          <w:p>
            <w:r>
              <w:rPr>
                <w:color w:val="222222"/>
                <w:sz w:val="20"/>
                <w:szCs w:val="20"/>
              </w:rPr>
              <w:t xml:space="preserve">FR-6</w:t>
            </w:r>
          </w:p>
        </w:tc>
        <w:tc>
          <w:tcPr>
            <w:tcW w:type="dxa" w:w="6900"/>
          </w:tcPr>
          <w:p>
            <w:r>
              <w:rPr>
                <w:color w:val="222222"/>
                <w:sz w:val="20"/>
                <w:szCs w:val="20"/>
              </w:rPr>
              <w:t xml:space="preserve">Overdue leads are visually distinguished (e.g., red) from due-today leads</w:t>
            </w:r>
          </w:p>
        </w:tc>
        <w:tc>
          <w:tcPr>
            <w:tcW w:type="dxa" w:w="1250"/>
          </w:tcPr>
          <w:p>
            <w:r>
              <w:rPr>
                <w:color w:val="22222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</w:tcPr>
          <w:p>
            <w:r>
              <w:rPr>
                <w:color w:val="222222"/>
                <w:sz w:val="20"/>
                <w:szCs w:val="20"/>
              </w:rPr>
              <w:t xml:space="preserve">FR-7</w:t>
            </w:r>
          </w:p>
        </w:tc>
        <w:tc>
          <w:tcPr>
            <w:tcW w:type="dxa" w:w="6900"/>
          </w:tcPr>
          <w:p>
            <w:r>
              <w:rPr>
                <w:color w:val="222222"/>
                <w:sz w:val="20"/>
                <w:szCs w:val="20"/>
              </w:rPr>
              <w:t xml:space="preserve">Funnel view shows count of leads per stage</w:t>
            </w:r>
          </w:p>
        </w:tc>
        <w:tc>
          <w:tcPr>
            <w:tcW w:type="dxa" w:w="1250"/>
          </w:tcPr>
          <w:p>
            <w:r>
              <w:rPr>
                <w:color w:val="22222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</w:tcPr>
          <w:p>
            <w:r>
              <w:rPr>
                <w:color w:val="222222"/>
                <w:sz w:val="20"/>
                <w:szCs w:val="20"/>
              </w:rPr>
              <w:t xml:space="preserve">FR-8</w:t>
            </w:r>
          </w:p>
        </w:tc>
        <w:tc>
          <w:tcPr>
            <w:tcW w:type="dxa" w:w="6900"/>
          </w:tcPr>
          <w:p>
            <w:r>
              <w:rPr>
                <w:color w:val="222222"/>
                <w:sz w:val="20"/>
                <w:szCs w:val="20"/>
              </w:rPr>
              <w:t xml:space="preserve">All data persists across browser sessions via local storage</w:t>
            </w:r>
          </w:p>
        </w:tc>
        <w:tc>
          <w:tcPr>
            <w:tcW w:type="dxa" w:w="1250"/>
          </w:tcPr>
          <w:p>
            <w:r>
              <w:rPr>
                <w:color w:val="222222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200"/>
          </w:tcPr>
          <w:p>
            <w:r>
              <w:rPr>
                <w:color w:val="222222"/>
                <w:sz w:val="20"/>
                <w:szCs w:val="20"/>
              </w:rPr>
              <w:t xml:space="preserve">FR-9</w:t>
            </w:r>
          </w:p>
        </w:tc>
        <w:tc>
          <w:tcPr>
            <w:tcW w:type="dxa" w:w="6900"/>
          </w:tcPr>
          <w:p>
            <w:r>
              <w:rPr>
                <w:color w:val="222222"/>
                <w:sz w:val="20"/>
                <w:szCs w:val="20"/>
              </w:rPr>
              <w:t xml:space="preserve">User can search/filter leads by name</w:t>
            </w:r>
          </w:p>
        </w:tc>
        <w:tc>
          <w:tcPr>
            <w:tcW w:type="dxa" w:w="1250"/>
          </w:tcPr>
          <w:p>
            <w:r>
              <w:rPr>
                <w:color w:val="222222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200"/>
          </w:tcPr>
          <w:p>
            <w:r>
              <w:rPr>
                <w:color w:val="222222"/>
                <w:sz w:val="20"/>
                <w:szCs w:val="20"/>
              </w:rPr>
              <w:t xml:space="preserve">FR-10</w:t>
            </w:r>
          </w:p>
        </w:tc>
        <w:tc>
          <w:tcPr>
            <w:tcW w:type="dxa" w:w="6900"/>
          </w:tcPr>
          <w:p>
            <w:r>
              <w:rPr>
                <w:color w:val="222222"/>
                <w:sz w:val="20"/>
                <w:szCs w:val="20"/>
              </w:rPr>
              <w:t xml:space="preserve">Admitted/Rejected leads are visually archived but not deleted</w:t>
            </w:r>
          </w:p>
        </w:tc>
        <w:tc>
          <w:tcPr>
            <w:tcW w:type="dxa" w:w="1250"/>
          </w:tcPr>
          <w:p>
            <w:r>
              <w:rPr>
                <w:color w:val="222222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1"/>
        <w:spacing w:after="160" w:before="360"/>
      </w:pPr>
      <w:r>
        <w:t xml:space="preserve">7.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Usable entirely offline after first load (no backend dependency)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login or authentication required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Loads and responds instantly for a dataset under 100 leads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Mobile-and-desktop-friendly layout (admin may check the dashboard on a phone)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 style: dark, premium aesthetic consistent with the existing app portfolio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data loss on refresh or browser close</w:t>
      </w:r>
    </w:p>
    <w:p>
      <w:pPr>
        <w:pStyle w:val="Heading1"/>
        <w:spacing w:after="160" w:before="360"/>
      </w:pPr>
      <w:r>
        <w:t xml:space="preserve">8. Constraints &amp; 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admin user; no concurrent multi-device access to the same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lives in that one browser's local storage — clearing browser data clears leads (acceptable for v1.0; disclosed as a known limitation)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paid tools or services will be 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backend server or database in v1.0 — pure client-side application</w:t>
      </w:r>
    </w:p>
    <w:p>
      <w:pPr>
        <w:pStyle w:val="Heading1"/>
        <w:spacing w:after="160" w:before="360"/>
      </w:pPr>
      <w:r>
        <w:t xml:space="preserve">9. Definition of Done (Day 10)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Must-priority functional requirements implemented and working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 deployed to a live, shareable URL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critical bugs in core flows (add lead, move stage, view today's follow-ups)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 is polished, consistent, and demo-ready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 has been tested with realistic sample data (≈15-20 sample leads)</w:t>
      </w:r>
    </w:p>
    <w:p>
      <w:pPr>
        <w:pStyle w:val="Heading1"/>
        <w:spacing w:after="160" w:before="360"/>
      </w:pPr>
      <w:r>
        <w:t xml:space="preserve">10. Risks &amp; Mitigations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50"/>
      </w:tblGrid>
      <w:tr>
        <w:tc>
          <w:tcPr>
            <w:tcW w:type="dxa" w:w="4400"/>
            <w:shd w:fill="1A27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950"/>
            <w:shd w:fill="1A274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400"/>
          </w:tcPr>
          <w:p>
            <w:r>
              <w:rPr>
                <w:color w:val="222222"/>
                <w:sz w:val="20"/>
                <w:szCs w:val="20"/>
              </w:rPr>
              <w:t xml:space="preserve">Scope creep toward multi-user/cloud features</w:t>
            </w:r>
          </w:p>
        </w:tc>
        <w:tc>
          <w:tcPr>
            <w:tcW w:type="dxa" w:w="4950"/>
          </w:tcPr>
          <w:p>
            <w:r>
              <w:rPr>
                <w:color w:val="222222"/>
                <w:sz w:val="20"/>
                <w:szCs w:val="20"/>
              </w:rPr>
              <w:t xml:space="preserve">Explicit out-of-scope list enforced daily; defer to “Future Scope”</w:t>
            </w:r>
          </w:p>
        </w:tc>
      </w:tr>
      <w:tr>
        <w:tc>
          <w:tcPr>
            <w:tcW w:type="dxa" w:w="4400"/>
          </w:tcPr>
          <w:p>
            <w:r>
              <w:rPr>
                <w:color w:val="222222"/>
                <w:sz w:val="20"/>
                <w:szCs w:val="20"/>
              </w:rPr>
              <w:t xml:space="preserve">Local-storage data loss</w:t>
            </w:r>
          </w:p>
        </w:tc>
        <w:tc>
          <w:tcPr>
            <w:tcW w:type="dxa" w:w="4950"/>
          </w:tcPr>
          <w:p>
            <w:r>
              <w:rPr>
                <w:color w:val="222222"/>
                <w:sz w:val="20"/>
                <w:szCs w:val="20"/>
              </w:rPr>
              <w:t xml:space="preserve">Disclosed as known v1.0 limitation; documented for user awareness</w:t>
            </w:r>
          </w:p>
        </w:tc>
      </w:tr>
      <w:tr>
        <w:tc>
          <w:tcPr>
            <w:tcW w:type="dxa" w:w="4400"/>
          </w:tcPr>
          <w:p>
            <w:r>
              <w:rPr>
                <w:color w:val="222222"/>
                <w:sz w:val="20"/>
                <w:szCs w:val="20"/>
              </w:rPr>
              <w:t xml:space="preserve">Running out of time before deployment</w:t>
            </w:r>
          </w:p>
        </w:tc>
        <w:tc>
          <w:tcPr>
            <w:tcW w:type="dxa" w:w="4950"/>
          </w:tcPr>
          <w:p>
            <w:r>
              <w:rPr>
                <w:color w:val="222222"/>
                <w:sz w:val="20"/>
                <w:szCs w:val="20"/>
              </w:rPr>
              <w:t xml:space="preserve">Deployment happens early (by Day 7) with polish continuing after, not the reverse</w:t>
            </w:r>
          </w:p>
        </w:tc>
      </w:tr>
    </w:tbl>
    <w:p>
      <w:pPr>
        <w:pStyle w:val="Heading1"/>
        <w:spacing w:after="160" w:before="360"/>
      </w:pPr>
      <w:r>
        <w:t xml:space="preserve">11. Future Scope (Post-v1.0)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CSV/Excel export and import for backup and reporting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Multi-user support with shared, synced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WhatsApp/SMS follow-up reminders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Analytics: conversion rates by stage, source-of-inquiry tracking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Multi-school / multi-branch support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2026-07-25T18:09:03.729Z</dcterms:created>
  <dcterms:modified xsi:type="dcterms:W3CDTF">2026-07-25T18:09:03.746Z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