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12987D18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Vice-Chair</w:t>
      </w:r>
      <w:r w:rsidR="00062D5A">
        <w:rPr>
          <w:rFonts w:ascii="Times New Roman" w:hAnsi="Times New Roman" w:cs="Times New Roman"/>
          <w:sz w:val="16"/>
          <w:szCs w:val="22"/>
        </w:rPr>
        <w:t xml:space="preserve"> (Membership</w:t>
      </w:r>
      <w:r w:rsidR="00A75964">
        <w:rPr>
          <w:rFonts w:ascii="Times New Roman" w:hAnsi="Times New Roman" w:cs="Times New Roman"/>
          <w:sz w:val="16"/>
          <w:szCs w:val="22"/>
        </w:rPr>
        <w:t>s</w:t>
      </w:r>
      <w:r w:rsidR="00062D5A">
        <w:rPr>
          <w:rFonts w:ascii="Times New Roman" w:hAnsi="Times New Roman" w:cs="Times New Roman"/>
          <w:sz w:val="16"/>
          <w:szCs w:val="22"/>
        </w:rPr>
        <w:t xml:space="preserve"> &amp; Campaigns)</w:t>
      </w:r>
      <w:r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552CE">
        <w:rPr>
          <w:rFonts w:ascii="Times New Roman" w:hAnsi="Times New Roman" w:cs="Times New Roman"/>
          <w:sz w:val="16"/>
          <w:szCs w:val="22"/>
        </w:rPr>
        <w:t>March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552CE">
        <w:rPr>
          <w:rFonts w:ascii="Times New Roman" w:hAnsi="Times New Roman" w:cs="Times New Roman"/>
          <w:sz w:val="16"/>
          <w:szCs w:val="22"/>
        </w:rPr>
        <w:t>4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756159A8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="005E5134">
        <w:rPr>
          <w:rFonts w:ascii="Times New Roman" w:hAnsi="Times New Roman" w:cs="Times New Roman"/>
          <w:sz w:val="16"/>
          <w:szCs w:val="22"/>
        </w:rPr>
        <w:t>Christ the King Sixth Form College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140F29AE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  <w:r w:rsidR="00EA5B34">
        <w:rPr>
          <w:rFonts w:ascii="Times New Roman" w:hAnsi="Times New Roman" w:cs="Times New Roman"/>
          <w:sz w:val="16"/>
          <w:szCs w:val="22"/>
        </w:rPr>
        <w:t>, Angela Baron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22190A92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</w:p>
    <w:p w14:paraId="3F25503B" w14:textId="3CD38571" w:rsidR="00EA7DF6" w:rsidRPr="00A75964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A75964">
        <w:rPr>
          <w:rFonts w:ascii="Times New Roman" w:hAnsi="Times New Roman" w:cs="Times New Roman"/>
          <w:sz w:val="16"/>
          <w:szCs w:val="22"/>
        </w:rPr>
        <w:t>Principal Adviser</w:t>
      </w:r>
      <w:r w:rsidR="007251CC" w:rsidRPr="00A75964">
        <w:rPr>
          <w:rFonts w:ascii="Times New Roman" w:hAnsi="Times New Roman" w:cs="Times New Roman"/>
          <w:sz w:val="16"/>
          <w:szCs w:val="22"/>
        </w:rPr>
        <w:t>s</w:t>
      </w:r>
      <w:r w:rsidRPr="00A75964">
        <w:rPr>
          <w:rFonts w:ascii="Times New Roman" w:hAnsi="Times New Roman" w:cs="Times New Roman"/>
          <w:sz w:val="16"/>
          <w:szCs w:val="22"/>
        </w:rPr>
        <w:t xml:space="preserve">: </w:t>
      </w:r>
      <w:r w:rsidR="00245962" w:rsidRPr="00A75964">
        <w:rPr>
          <w:rFonts w:ascii="Times New Roman" w:hAnsi="Times New Roman" w:cs="Times New Roman"/>
          <w:sz w:val="16"/>
          <w:szCs w:val="22"/>
        </w:rPr>
        <w:t>Pierre Regibeau</w:t>
      </w:r>
      <w:r w:rsidR="007251CC" w:rsidRPr="00A75964">
        <w:rPr>
          <w:rFonts w:ascii="Times New Roman" w:hAnsi="Times New Roman" w:cs="Times New Roman"/>
          <w:sz w:val="16"/>
          <w:szCs w:val="22"/>
        </w:rPr>
        <w:t xml:space="preserve">, </w:t>
      </w:r>
      <w:r w:rsidR="000A5B4E" w:rsidRPr="00A75964">
        <w:rPr>
          <w:rFonts w:ascii="Times New Roman" w:hAnsi="Times New Roman" w:cs="Times New Roman"/>
          <w:sz w:val="16"/>
          <w:szCs w:val="22"/>
        </w:rPr>
        <w:t>Francesco Squintani</w:t>
      </w:r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406600C6" w14:textId="448CFCC3" w:rsidR="00EA5B34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EA5B34">
        <w:rPr>
          <w:rFonts w:ascii="Times New Roman" w:hAnsi="Times New Roman" w:cs="Times New Roman"/>
          <w:sz w:val="16"/>
          <w:szCs w:val="22"/>
        </w:rPr>
        <w:t>Fields: Accounting, Finance, Management</w:t>
      </w:r>
    </w:p>
    <w:p w14:paraId="1378DEBD" w14:textId="24BEA253" w:rsidR="007251CC" w:rsidRDefault="007251CC" w:rsidP="00EA5B34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Principal Advisers: Steffen Bohm, Harro Hopfl</w:t>
      </w:r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35B7425B" w:rsidR="00030D07" w:rsidRDefault="00E02652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PUBLICATIONS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6B035B63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Mayaki</w:t>
      </w:r>
      <w:r w:rsidR="00062D5A">
        <w:rPr>
          <w:rFonts w:ascii="Times New Roman" w:hAnsi="Times New Roman" w:cs="Times New Roman"/>
          <w:sz w:val="16"/>
          <w:szCs w:val="22"/>
        </w:rPr>
        <w:t>, A A</w:t>
      </w:r>
      <w:r>
        <w:rPr>
          <w:rFonts w:ascii="Times New Roman" w:hAnsi="Times New Roman" w:cs="Times New Roman"/>
          <w:sz w:val="16"/>
          <w:szCs w:val="22"/>
        </w:rPr>
        <w:t xml:space="preserve">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1F4CBA">
        <w:rPr>
          <w:rFonts w:ascii="Times New Roman" w:hAnsi="Times New Roman" w:cs="Times New Roman"/>
          <w:sz w:val="16"/>
          <w:szCs w:val="22"/>
        </w:rPr>
        <w:t xml:space="preserve"> </w:t>
      </w:r>
      <w:r w:rsidR="00F32A78">
        <w:rPr>
          <w:rFonts w:ascii="Times New Roman" w:hAnsi="Times New Roman" w:cs="Times New Roman"/>
          <w:sz w:val="16"/>
          <w:szCs w:val="22"/>
        </w:rPr>
        <w:t>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>: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 xml:space="preserve">Optimization and Control e-Journal, </w:t>
      </w:r>
      <w:r w:rsidR="00E02652">
        <w:rPr>
          <w:rFonts w:ascii="Times New Roman" w:hAnsi="Times New Roman" w:cs="Times New Roman"/>
          <w:sz w:val="16"/>
          <w:szCs w:val="22"/>
        </w:rPr>
        <w:t xml:space="preserve">2(9), </w:t>
      </w:r>
      <w:r w:rsidR="00BC6357">
        <w:rPr>
          <w:rFonts w:ascii="Times New Roman" w:hAnsi="Times New Roman" w:cs="Times New Roman"/>
          <w:sz w:val="16"/>
          <w:szCs w:val="22"/>
        </w:rPr>
        <w:t xml:space="preserve">pp. 1-13,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52796331" w:rsidR="00751928" w:rsidRDefault="00A07F9A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0E90F14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</w:t>
      </w:r>
      <w:r w:rsidR="00597EFC">
        <w:rPr>
          <w:rFonts w:ascii="Times New Roman" w:hAnsi="Times New Roman" w:cs="Times New Roman"/>
          <w:b/>
          <w:bCs/>
          <w:sz w:val="16"/>
          <w:szCs w:val="22"/>
        </w:rPr>
        <w:t>S &amp; WORKSHOPS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5E90EBD6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</w:t>
      </w:r>
      <w:r w:rsidR="00062D5A">
        <w:rPr>
          <w:rFonts w:ascii="Times New Roman" w:hAnsi="Times New Roman" w:cs="Times New Roman"/>
          <w:sz w:val="16"/>
          <w:szCs w:val="22"/>
        </w:rPr>
        <w:t>–</w:t>
      </w:r>
      <w:r w:rsidR="00B77FAB">
        <w:rPr>
          <w:rFonts w:ascii="Times New Roman" w:hAnsi="Times New Roman" w:cs="Times New Roman"/>
          <w:sz w:val="16"/>
          <w:szCs w:val="22"/>
        </w:rPr>
        <w:t xml:space="preserve"> </w:t>
      </w:r>
      <w:r w:rsidR="00062D5A">
        <w:rPr>
          <w:rFonts w:ascii="Times New Roman" w:hAnsi="Times New Roman" w:cs="Times New Roman"/>
          <w:sz w:val="16"/>
          <w:szCs w:val="22"/>
        </w:rPr>
        <w:t xml:space="preserve">Formal </w:t>
      </w:r>
      <w:r w:rsidR="00B77FAB">
        <w:rPr>
          <w:rFonts w:ascii="Times New Roman" w:hAnsi="Times New Roman" w:cs="Times New Roman"/>
          <w:sz w:val="16"/>
          <w:szCs w:val="22"/>
        </w:rPr>
        <w:t>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38E35A02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SIMA-SIM-BAM School of Research Methods </w:t>
      </w:r>
      <w:r w:rsidR="00062D5A">
        <w:rPr>
          <w:rFonts w:ascii="Times New Roman" w:hAnsi="Times New Roman" w:cs="Times New Roman"/>
          <w:sz w:val="16"/>
          <w:szCs w:val="22"/>
        </w:rPr>
        <w:t>–</w:t>
      </w:r>
      <w:r>
        <w:rPr>
          <w:rFonts w:ascii="Times New Roman" w:hAnsi="Times New Roman" w:cs="Times New Roman"/>
          <w:sz w:val="16"/>
          <w:szCs w:val="22"/>
        </w:rPr>
        <w:t xml:space="preserve"> </w:t>
      </w:r>
      <w:r w:rsidR="00062D5A">
        <w:rPr>
          <w:rFonts w:ascii="Times New Roman" w:hAnsi="Times New Roman" w:cs="Times New Roman"/>
          <w:sz w:val="16"/>
          <w:szCs w:val="22"/>
        </w:rPr>
        <w:t xml:space="preserve">Formal </w:t>
      </w:r>
      <w:r>
        <w:rPr>
          <w:rFonts w:ascii="Times New Roman" w:hAnsi="Times New Roman" w:cs="Times New Roman"/>
          <w:sz w:val="16"/>
          <w:szCs w:val="22"/>
        </w:rPr>
        <w:t>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321A6"/>
    <w:rsid w:val="00041E07"/>
    <w:rsid w:val="000422C2"/>
    <w:rsid w:val="00047694"/>
    <w:rsid w:val="00047F81"/>
    <w:rsid w:val="00050C1C"/>
    <w:rsid w:val="000553FD"/>
    <w:rsid w:val="00062D5A"/>
    <w:rsid w:val="00075BD5"/>
    <w:rsid w:val="00077A94"/>
    <w:rsid w:val="000A5B4E"/>
    <w:rsid w:val="000A6BF0"/>
    <w:rsid w:val="000B1DC4"/>
    <w:rsid w:val="000B209E"/>
    <w:rsid w:val="000C65F4"/>
    <w:rsid w:val="000E33D0"/>
    <w:rsid w:val="000E6B1D"/>
    <w:rsid w:val="000F0B2D"/>
    <w:rsid w:val="000F4FA6"/>
    <w:rsid w:val="001026E5"/>
    <w:rsid w:val="001038FD"/>
    <w:rsid w:val="00117941"/>
    <w:rsid w:val="00124E17"/>
    <w:rsid w:val="001310AC"/>
    <w:rsid w:val="00135322"/>
    <w:rsid w:val="001411C8"/>
    <w:rsid w:val="00145B58"/>
    <w:rsid w:val="001510CB"/>
    <w:rsid w:val="00154D74"/>
    <w:rsid w:val="00154EF1"/>
    <w:rsid w:val="001552CE"/>
    <w:rsid w:val="00170CAC"/>
    <w:rsid w:val="00172B3C"/>
    <w:rsid w:val="00193B56"/>
    <w:rsid w:val="001A1164"/>
    <w:rsid w:val="001A51DE"/>
    <w:rsid w:val="001B706A"/>
    <w:rsid w:val="001E012B"/>
    <w:rsid w:val="001F4CBA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B4F16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97EFC"/>
    <w:rsid w:val="005A76C8"/>
    <w:rsid w:val="005D25C7"/>
    <w:rsid w:val="005D6ACC"/>
    <w:rsid w:val="005E5134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75964"/>
    <w:rsid w:val="00A813E6"/>
    <w:rsid w:val="00A83919"/>
    <w:rsid w:val="00A85901"/>
    <w:rsid w:val="00A92FE3"/>
    <w:rsid w:val="00AA2B4A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635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C7036"/>
    <w:rsid w:val="00DD42E9"/>
    <w:rsid w:val="00DF3C94"/>
    <w:rsid w:val="00E02652"/>
    <w:rsid w:val="00E02951"/>
    <w:rsid w:val="00E06E57"/>
    <w:rsid w:val="00E1201B"/>
    <w:rsid w:val="00E12C01"/>
    <w:rsid w:val="00E206D8"/>
    <w:rsid w:val="00E35811"/>
    <w:rsid w:val="00E438BF"/>
    <w:rsid w:val="00E46A49"/>
    <w:rsid w:val="00E75A6A"/>
    <w:rsid w:val="00E973C2"/>
    <w:rsid w:val="00EA2AF8"/>
    <w:rsid w:val="00EA5B34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10F8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34B3D-7BFA-408C-9064-B677B76DC1E3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8e01254b-f338-4f61-8b75-95bd48ce8af3"/>
    <ds:schemaRef ds:uri="60911b5a-7196-4023-869e-d31528c2c0d3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2</cp:revision>
  <cp:lastPrinted>2024-07-01T13:22:00Z</cp:lastPrinted>
  <dcterms:created xsi:type="dcterms:W3CDTF">2024-07-01T13:23:00Z</dcterms:created>
  <dcterms:modified xsi:type="dcterms:W3CDTF">2024-07-01T13:23:00Z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