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tbl>
      <w:tblPr>
        <w:tblpPr w:leftFromText="180" w:rightFromText="180" w:vertAnchor="text" w:horzAnchor="page" w:tblpX="930" w:tblpY="-1439"/>
        <w:tblOverlap w:val="never"/>
        <w:tblW w:w="4999" w:type="pct"/>
        <w:jc w:val="left"/>
        <w:tblInd w:w="0" w:type="dxa"/>
        <w:tblCellMar>
          <w:top w:w="0" w:type="dxa"/>
          <w:left w:w="70" w:type="dxa"/>
          <w:bottom w:w="0" w:type="dxa"/>
          <w:right w:w="70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162"/>
        <w:gridCol w:w="1991"/>
        <w:gridCol w:w="8645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70" w:type="dxa"/>
            <w:right w:w="70" w:type="dxa"/>
          </w:tblCellMar>
        </w:tblPrEx>
        <w:trPr>
          <w:trHeight w:hRule="atLeast" w:val="300"/>
          <w:gridAfter w:val="1"/>
          <w:wAfter w:val="4003" w:type="pct"/>
        </w:trPr>
        <w:tc>
          <w:tcPr>
            <w:tcW w:type="pct" w:w="997"/>
            <w:tcBorders>
              <w:top w:val="nil"/>
              <w:left w:val="nil"/>
              <w:bottom w:val="nil"/>
              <w:right w:val="nil"/>
            </w:tcBorders>
            <w:shd w:fill="auto" w:color="auto"/>
            <w:vAlign w:val="bottom"/>
            <w:gridSpan w:val="2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70" w:type="dxa"/>
            <w:right w:w="70" w:type="dxa"/>
          </w:tblCellMar>
        </w:tblPrEx>
        <w:trPr>
          <w:trHeight w:hRule="atLeast" w:val="64"/>
          <w:gridAfter w:val="1"/>
          <w:wAfter w:val="4003" w:type="pct"/>
        </w:trPr>
        <w:tc>
          <w:tcPr>
            <w:tcW w:type="pct" w:w="997"/>
            <w:tcBorders>
              <w:top w:val="nil"/>
              <w:left w:val="nil"/>
              <w:bottom w:val="nil"/>
              <w:right w:val="nil"/>
            </w:tcBorders>
            <w:shd w:fill="auto" w:color="auto"/>
            <w:vAlign w:val="bottom"/>
            <w:gridSpan w:val="2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70" w:type="dxa"/>
            <w:right w:w="70" w:type="dxa"/>
          </w:tblCellMar>
        </w:tblPrEx>
        <w:trPr>
          <w:trHeight w:hRule="atLeast" w:val="64"/>
          <w:gridAfter w:val="1"/>
          <w:wAfter w:val="4003" w:type="pct"/>
        </w:trPr>
        <w:tc>
          <w:tcPr>
            <w:tcW w:type="pct" w:w="997"/>
            <w:tcBorders>
              <w:top w:val="nil"/>
              <w:left w:val="nil"/>
              <w:bottom w:val="nil"/>
              <w:right w:val="nil"/>
            </w:tcBorders>
            <w:shd w:fill="auto" w:color="auto"/>
            <w:vAlign w:val="bottom"/>
            <w:gridSpan w:val="2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70" w:type="dxa"/>
            <w:right w:w="70" w:type="dxa"/>
          </w:tblCellMar>
        </w:tblPrEx>
        <w:trPr>
          <w:trHeight w:hRule="atLeast" w:val="64"/>
          <w:gridAfter w:val="1"/>
          <w:wAfter w:val="4003" w:type="pct"/>
        </w:trPr>
        <w:tc>
          <w:tcPr>
            <w:tcW w:type="pct" w:w="997"/>
            <w:tcBorders>
              <w:top w:val="nil"/>
              <w:left w:val="nil"/>
              <w:bottom w:val="nil"/>
              <w:right w:val="nil"/>
            </w:tcBorders>
            <w:shd w:fill="auto" w:color="auto"/>
            <w:vAlign w:val="bottom"/>
            <w:gridSpan w:val="2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70" w:type="dxa"/>
            <w:right w:w="70" w:type="dxa"/>
          </w:tblCellMar>
        </w:tblPrEx>
        <w:trPr>
          <w:trHeight w:hRule="atLeast" w:val="64"/>
          <w:gridAfter w:val="1"/>
          <w:wAfter w:val="4003" w:type="pct"/>
        </w:trPr>
        <w:tc>
          <w:tcPr>
            <w:tcW w:type="pct" w:w="997"/>
            <w:tcBorders>
              <w:top w:val="nil"/>
              <w:left w:val="nil"/>
              <w:bottom w:val="nil"/>
              <w:right w:val="nil"/>
            </w:tcBorders>
            <w:shd w:fill="auto" w:color="auto"/>
            <w:vAlign w:val="bottom"/>
            <w:gridSpan w:val="2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70" w:type="dxa"/>
            <w:right w:w="70" w:type="dxa"/>
          </w:tblCellMar>
        </w:tblPrEx>
        <w:trPr>
          <w:trHeight w:hRule="atLeast" w:val="1437"/>
        </w:trPr>
        <w:tc>
          <w:tcPr>
            <w:tcW w:type="pct" w:w="5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BDD6EE" w:color="auto" w:val="clear"/>
            <w:vAlign w:val="center"/>
            <w:gridSpan w:val="3"/>
          </w:tcPr>
          <w:p>
            <w:pPr>
              <w:pBdr/>
              <w:pStyle w:val="Normal"/>
              <w:spacing/>
              <w:ind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INFORME MANTENIMIENTO PREVENTIVO SEMESTRAL</w:t>
            </w:r>
          </w:p>
          <w:p>
            <w:pPr>
              <w:pBdr/>
              <w:pStyle w:val="Normal"/>
              <w:spacing/>
              <w:ind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SISTEMA CCTV – CISA</w:t>
            </w:r>
          </w:p>
          <w:p>
            <w:pPr>
              <w:pBdr/>
              <w:pStyle w:val="Normal"/>
              <w:spacing/>
              <w:ind/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2026 I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70" w:type="dxa"/>
            <w:right w:w="70" w:type="dxa"/>
          </w:tblCellMar>
        </w:tblPrEx>
        <w:trPr>
          <w:trHeight w:hRule="atLeast" w:val="300"/>
        </w:trPr>
        <w:tc>
          <w:tcPr>
            <w:tcW w:type="pct" w:w="500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BDD6EE" w:color="auto" w:val="clear"/>
            <w:vAlign w:val="center"/>
            <w:gridSpan w:val="3"/>
          </w:tcPr>
          <w:p>
            <w:pPr>
              <w:pBdr/>
              <w:pStyle w:val="Normal"/>
              <w:spacing/>
              <w:ind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Cumpliendo con el Plan de Mantenimiento vigente, el Concesionario realizó actividades de mantenimiento a los dispositivos del sistema CCTV, con </w:t>
            </w:r>
            <w:r>
              <w:rPr>
                <w:rFonts w:ascii="Calibri" w:hAnsi="Calibri"/>
                <w:b/>
              </w:rPr>
              <w:t xml:space="preserve">OT Máximo Nro.</w:t>
            </w:r>
            <w:r>
              <w:rPr/>
              <w:t xml:space="preserve"> </w:t>
            </w:r>
            <w:r>
              <w:rPr>
                <w:rFonts w:ascii="Calibri" w:hAnsi="Calibri"/>
                <w:b/>
              </w:rPr>
              <w:t xml:space="preserve">T11179426-T11179427-T11179428</w:t>
            </w:r>
            <w:r>
              <w:rPr>
                <w:rFonts w:ascii="Calibri" w:hAnsi="Calibri"/>
              </w:rPr>
              <w:t xml:space="preserve">, desarrollando, entre otras, las siguientes actividades:</w:t>
            </w:r>
          </w:p>
          <w:p>
            <w:pPr>
              <w:pBdr/>
              <w:pStyle w:val="Normal"/>
              <w:spacing/>
              <w:ind/>
              <w:jc w:val="both"/>
              <w:rPr>
                <w:rFonts w:ascii="Calibri" w:hAnsi="Calibri"/>
              </w:rPr>
            </w:pPr>
          </w:p>
          <w:p>
            <w:pPr>
              <w:pBdr/>
              <w:pStyle w:val="Normal"/>
              <w:spacing/>
              <w:ind/>
              <w:jc w:val="both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Servidores</w:t>
            </w:r>
          </w:p>
          <w:p>
            <w:pPr>
              <w:pBdr/>
              <w:pStyle w:val="List Paragraph"/>
              <w:numPr>
                <w:ilvl w:val="0"/>
                <w:numId w:val="2"/>
              </w:numPr>
              <w:spacing/>
              <w:ind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Mantenimiento a los servidores y el almacenamiento utilizado para la captura de las cámaras.</w:t>
            </w:r>
          </w:p>
          <w:p>
            <w:pPr>
              <w:pBdr/>
              <w:pStyle w:val="List Paragraph"/>
              <w:numPr>
                <w:ilvl w:val="0"/>
                <w:numId w:val="2"/>
              </w:numPr>
              <w:spacing/>
              <w:ind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Verificación de la configuración de las licencias de video análisis.</w:t>
            </w:r>
          </w:p>
          <w:p>
            <w:pPr>
              <w:pBdr/>
              <w:pStyle w:val="Normal"/>
              <w:spacing/>
              <w:ind/>
              <w:jc w:val="both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Cámaras de Video</w:t>
            </w:r>
          </w:p>
          <w:p>
            <w:pPr>
              <w:pBdr/>
              <w:pStyle w:val="List Paragraph"/>
              <w:numPr>
                <w:ilvl w:val="0"/>
                <w:numId w:val="4"/>
              </w:numPr>
              <w:spacing/>
              <w:ind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Verificación conectores de alimentación eléctrica, de control y datos (video) y funciones de cámara (zoom, rotación y paneo).</w:t>
            </w:r>
          </w:p>
          <w:p>
            <w:pPr>
              <w:pBdr/>
              <w:pStyle w:val="List Paragraph"/>
              <w:numPr>
                <w:ilvl w:val="0"/>
                <w:numId w:val="4"/>
              </w:numPr>
              <w:spacing/>
              <w:ind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Comprobación, ajustes y limpieza del housing. </w:t>
            </w:r>
          </w:p>
          <w:p>
            <w:pPr>
              <w:pBdr/>
              <w:pStyle w:val="List Paragraph"/>
              <w:numPr>
                <w:ilvl w:val="0"/>
                <w:numId w:val="4"/>
              </w:numPr>
              <w:spacing/>
              <w:ind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Comprobación y ajustes del mástil soporte.</w:t>
            </w:r>
          </w:p>
          <w:p>
            <w:pPr>
              <w:pBdr/>
              <w:pStyle w:val="List Paragraph"/>
              <w:numPr>
                <w:ilvl w:val="0"/>
                <w:numId w:val="4"/>
              </w:numPr>
              <w:spacing/>
              <w:ind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Comprobación, ajustes y limpieza de lentes.</w:t>
            </w:r>
          </w:p>
          <w:p>
            <w:pPr>
              <w:pBdr/>
              <w:pStyle w:val="Normal"/>
              <w:spacing/>
              <w:ind/>
              <w:jc w:val="both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Consola de mando</w:t>
            </w:r>
          </w:p>
          <w:p>
            <w:pPr>
              <w:pBdr/>
              <w:pStyle w:val="List Paragraph"/>
              <w:numPr>
                <w:ilvl w:val="0"/>
                <w:numId w:val="3"/>
              </w:numPr>
              <w:spacing/>
              <w:ind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Limpieza al almacenamiento</w:t>
            </w:r>
          </w:p>
          <w:p>
            <w:pPr>
              <w:pBdr/>
              <w:pStyle w:val="List Paragraph"/>
              <w:numPr>
                <w:ilvl w:val="0"/>
                <w:numId w:val="3"/>
              </w:numPr>
              <w:spacing/>
              <w:ind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Verificación estado y correcto funcionamiento de las pantallas de visualización y monitoreo</w:t>
            </w:r>
          </w:p>
          <w:p>
            <w:pPr>
              <w:pBdr/>
              <w:pStyle w:val="List Paragraph"/>
              <w:numPr>
                <w:ilvl w:val="0"/>
                <w:numId w:val="3"/>
              </w:numPr>
              <w:spacing/>
              <w:ind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Verificación estado y correcto funcionamiento de joystick.</w:t>
            </w:r>
          </w:p>
          <w:p>
            <w:pPr>
              <w:pBdr/>
              <w:pStyle w:val="List Paragraph"/>
              <w:numPr>
                <w:ilvl w:val="0"/>
                <w:numId w:val="3"/>
              </w:numPr>
              <w:spacing/>
              <w:ind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Verificación estado y correcto funcionamiento de Storage Area Network SAN</w:t>
            </w:r>
          </w:p>
          <w:p>
            <w:pPr>
              <w:pBdr/>
              <w:pStyle w:val="Normal"/>
              <w:spacing/>
              <w:ind/>
              <w:jc w:val="both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 xml:space="preserve">Centros de Cableado </w:t>
            </w:r>
          </w:p>
          <w:p>
            <w:pPr>
              <w:pBdr/>
              <w:pStyle w:val="List Paragraph"/>
              <w:numPr>
                <w:ilvl w:val="0"/>
                <w:numId w:val="1"/>
              </w:numPr>
              <w:spacing/>
              <w:ind/>
              <w:jc w:val="both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Verificación estado de los centros de cableado (FDs) y su correcta conectorización.</w:t>
            </w:r>
          </w:p>
          <w:p>
            <w:pPr>
              <w:pBdr/>
              <w:pStyle w:val="Normal"/>
              <w:spacing/>
              <w:ind/>
              <w:jc w:val="both"/>
              <w:rPr>
                <w:rFonts w:ascii="Calibri" w:hAnsi="Calibri"/>
              </w:rPr>
            </w:pP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70" w:type="dxa"/>
            <w:right w:w="70" w:type="dxa"/>
          </w:tblCellMar>
        </w:tblPrEx>
        <w:trPr>
          <w:trHeight w:hRule="atLeast" w:val="623"/>
        </w:trPr>
        <w:tc>
          <w:tcPr>
            <w:tcW w:type="pct" w:w="5000"/>
            <w:tcBorders>
              <w:top w:val="single" w:color="000000" w:sz="4" w:space="0"/>
              <w:bottom w:val="single" w:color="000000" w:sz="4" w:space="0"/>
            </w:tcBorders>
            <w:shd w:fill="FFFFFF" w:color="auto" w:val="clear"/>
            <w:vAlign w:val="center"/>
            <w:gridSpan w:val="3"/>
          </w:tcPr>
          <w:p>
            <w:pPr>
              <w:pBdr/>
              <w:pStyle w:val="Normal"/>
              <w:spacing/>
              <w:ind/>
              <w:jc w:val="center"/>
              <w:rPr>
                <w:rFonts w:ascii="Calibri" w:hAnsi="Calibri"/>
              </w:rPr>
            </w:pP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70" w:type="dxa"/>
            <w:right w:w="70" w:type="dxa"/>
          </w:tblCellMar>
        </w:tblPrEx>
        <w:trPr>
          <w:trHeight w:hRule="atLeast" w:val="300"/>
          <w:gridAfter w:val="2"/>
          <w:wAfter w:val="4925" w:type="pct"/>
        </w:trPr>
        <w:tc>
          <w:tcPr>
            <w:tcW w:type="pct" w:w="75"/>
            <w:tcBorders>
              <w:top w:val="nil"/>
              <w:left w:val="nil"/>
              <w:bottom w:val="nil"/>
              <w:right w:val="nil"/>
            </w:tcBorders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70" w:type="dxa"/>
            <w:right w:w="70" w:type="dxa"/>
          </w:tblCellMar>
        </w:tblPrEx>
        <w:trPr>
          <w:trHeight w:hRule="atLeast" w:val="300"/>
          <w:gridAfter w:val="2"/>
          <w:wAfter w:val="4925" w:type="pct"/>
        </w:trPr>
        <w:tc>
          <w:tcPr>
            <w:tcW w:type="pct" w:w="75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70" w:type="dxa"/>
            <w:right w:w="70" w:type="dxa"/>
          </w:tblCellMar>
        </w:tblPrEx>
        <w:trPr>
          <w:trHeight w:hRule="atLeast" w:val="300"/>
          <w:gridAfter w:val="2"/>
          <w:wAfter w:val="4925" w:type="pct"/>
        </w:trPr>
        <w:tc>
          <w:tcPr>
            <w:tcW w:type="pct" w:w="75"/>
            <w:tcBorders>
              <w:top w:val="nil"/>
              <w:left w:val="nil"/>
              <w:bottom w:val="nil"/>
              <w:right w:val="nil"/>
            </w:tcBorders>
            <w:shd w:fill="auto" w:color="auto"/>
            <w:vAlign w:val="bottom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tbl>
      <w:tblPr>
        <w:tblStyle w:val="Table Grid"/>
        <w:tblW w:w="10889" w:type="dxa"/>
        <w:jc w:val="left"/>
        <w:tblInd w:w="137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709"/>
        <w:gridCol w:w="1417"/>
        <w:gridCol w:w="1134"/>
        <w:gridCol w:w="1370"/>
        <w:gridCol w:w="2268"/>
        <w:gridCol w:w="1985"/>
        <w:gridCol w:w="1984"/>
        <w:gridCol w:w="22"/>
      </w:tblGrid>
      <w:tr>
        <w:tblPrEx>
          <w:tblBorders/>
        </w:tblPrEx>
        <w:trPr>
          <w:trHeight w:hRule="atLeast" w:val="660"/>
        </w:trPr>
        <w:tc>
          <w:tcPr>
            <w:tcW w:w="709" w:type="dxa"/>
            <w:tcBorders/>
            <w:shd w:fill="E7E6E6" w:color="auto" w:val="clear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  <w:r>
              <w:rPr>
                <w:rFonts w:ascii="Calibri" w:eastAsia="Times New Roman" w:hAnsi="Calibri" w:cs="Calibri"/>
                <w:color w:val="000000"/>
              </w:rPr>
              <w:t xml:space="preserve">ITEM</w:t>
            </w:r>
          </w:p>
        </w:tc>
        <w:tc>
          <w:tcPr>
            <w:tcW w:w="1417" w:type="dxa"/>
            <w:tcBorders/>
            <w:shd w:fill="E7E6E6" w:color="auto" w:val="clear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  <w:r>
              <w:rPr>
                <w:rFonts w:ascii="Calibri" w:eastAsia="Times New Roman" w:hAnsi="Calibri" w:cs="Calibri"/>
                <w:color w:val="000000"/>
              </w:rPr>
              <w:t xml:space="preserve">FECHA</w:t>
            </w:r>
          </w:p>
        </w:tc>
        <w:tc>
          <w:tcPr>
            <w:tcW w:w="1134" w:type="dxa"/>
            <w:tcBorders/>
            <w:shd w:fill="E7E6E6" w:color="auto" w:val="clear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  <w:r>
              <w:rPr>
                <w:rFonts w:ascii="Calibri" w:eastAsia="Times New Roman" w:hAnsi="Calibri" w:cs="Calibri"/>
                <w:color w:val="000000"/>
              </w:rPr>
              <w:t xml:space="preserve">INFORME</w:t>
            </w:r>
          </w:p>
        </w:tc>
        <w:tc>
          <w:tcPr>
            <w:tcW w:w="1370" w:type="dxa"/>
            <w:tcBorders/>
            <w:shd w:fill="E7E6E6" w:color="auto" w:val="clear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  <w:r>
              <w:rPr>
                <w:rFonts w:ascii="Calibri" w:eastAsia="Times New Roman" w:hAnsi="Calibri" w:cs="Calibri"/>
                <w:color w:val="000000"/>
              </w:rPr>
              <w:t xml:space="preserve">ID CAMARA</w:t>
            </w:r>
          </w:p>
        </w:tc>
        <w:tc>
          <w:tcPr>
            <w:tcW w:w="2268" w:type="dxa"/>
            <w:tcBorders/>
            <w:shd w:fill="E7E6E6" w:color="auto" w:val="clear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  <w:r>
              <w:rPr>
                <w:rFonts w:ascii="Calibri" w:eastAsia="Times New Roman" w:hAnsi="Calibri" w:cs="Calibri"/>
                <w:color w:val="000000"/>
              </w:rPr>
              <w:t xml:space="preserve">UBICACIÓN</w:t>
            </w:r>
          </w:p>
        </w:tc>
        <w:tc>
          <w:tcPr>
            <w:tcW w:w="3991" w:type="dxa"/>
            <w:tcBorders/>
            <w:shd w:fill="E7E6E6" w:color="auto" w:val="clear"/>
            <w:vAlign w:val="center"/>
            <w:gridSpan w:val="3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  <w:r>
              <w:rPr>
                <w:rFonts w:ascii="Calibri" w:eastAsia="Times New Roman" w:hAnsi="Calibri" w:cs="Calibri"/>
                <w:color w:val="000000"/>
              </w:rPr>
              <w:t xml:space="preserve">REGISTRO FOTOGRAFICO</w:t>
            </w:r>
          </w:p>
        </w:tc>
      </w:tr>
      <w:tr>
        <w:tblPrEx>
          <w:tblBorders/>
        </w:tblPrEx>
        <w:trPr>
          <w:trHeight w:hRule="atLeast" w:val="1474"/>
          <w:gridAfter w:val="1"/>
          <w:wAfter w:val="22" w:type="dxa"/>
        </w:trPr>
        <w:tc>
          <w:tcPr>
            <w:tcW w:w="709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  <w:r>
              <w:t>1</w:t>
            </w: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  <w:r>
              <w:t>19/03/2026</w:t>
            </w: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Aptos Narrow" w:hAnsi="Aptos Narrow" w:cs="Calibri"/>
                <w:color w:val="000000"/>
              </w:rPr>
            </w:pPr>
            <w:r>
              <w:t>Mantenimiento Preventivo</w:t>
            </w:r>
          </w:p>
        </w:tc>
        <w:tc>
          <w:tcPr>
            <w:tcW w:w="1370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  <w:r>
              <w:t>CISA-09</w:t>
            </w:r>
          </w:p>
        </w:tc>
        <w:tc>
          <w:tcPr>
            <w:tcW w:w="2268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bCs/>
                <w:color w:val="000000"/>
              </w:rPr>
            </w:pPr>
            <w:r>
              <w:t>CISA rampa</w:t>
            </w:r>
          </w:p>
        </w:tc>
        <w:tc>
          <w:tcPr>
            <w:tcW w:w="1985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  <w:r>
              <w:t>Agregar foto</w:t>
            </w:r>
          </w:p>
        </w:tc>
        <w:tc>
          <w:tcPr>
            <w:tcW w:w="198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</w:tr>
      <w:tr>
        <w:tblPrEx>
          <w:tblBorders/>
        </w:tblPrEx>
        <w:trPr>
          <w:trHeight w:hRule="atLeast" w:val="1474"/>
          <w:gridAfter w:val="1"/>
          <w:wAfter w:val="22" w:type="dxa"/>
        </w:trPr>
        <w:tc>
          <w:tcPr>
            <w:tcW w:w="709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Aptos Narrow" w:hAnsi="Aptos Narrow" w:cs="Calibri"/>
                <w:color w:val="000000"/>
              </w:rPr>
            </w:pPr>
          </w:p>
        </w:tc>
        <w:tc>
          <w:tcPr>
            <w:tcW w:w="1370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</w:tr>
      <w:tr>
        <w:tblPrEx>
          <w:tblBorders/>
        </w:tblPrEx>
        <w:trPr>
          <w:trHeight w:hRule="atLeast" w:val="1474"/>
          <w:gridAfter w:val="1"/>
          <w:wAfter w:val="22" w:type="dxa"/>
        </w:trPr>
        <w:tc>
          <w:tcPr>
            <w:tcW w:w="709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Aptos Narrow" w:hAnsi="Aptos Narrow" w:cs="Calibri"/>
                <w:color w:val="000000"/>
              </w:rPr>
            </w:pPr>
          </w:p>
        </w:tc>
        <w:tc>
          <w:tcPr>
            <w:tcW w:w="1370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</w:tr>
      <w:tr>
        <w:tblPrEx>
          <w:tblBorders/>
        </w:tblPrEx>
        <w:trPr>
          <w:trHeight w:hRule="atLeast" w:val="1474"/>
          <w:gridAfter w:val="1"/>
          <w:wAfter w:val="22" w:type="dxa"/>
        </w:trPr>
        <w:tc>
          <w:tcPr>
            <w:tcW w:w="709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Aptos Narrow" w:hAnsi="Aptos Narrow" w:cs="Calibri"/>
                <w:color w:val="000000"/>
              </w:rPr>
            </w:pPr>
          </w:p>
        </w:tc>
        <w:tc>
          <w:tcPr>
            <w:tcW w:w="1370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</w:tr>
      <w:tr>
        <w:tblPrEx>
          <w:tblBorders/>
        </w:tblPrEx>
        <w:trPr>
          <w:trHeight w:hRule="atLeast" w:val="1474"/>
          <w:gridAfter w:val="1"/>
          <w:wAfter w:val="22" w:type="dxa"/>
        </w:trPr>
        <w:tc>
          <w:tcPr>
            <w:tcW w:w="709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Aptos Narrow" w:hAnsi="Aptos Narrow" w:cs="Calibri"/>
                <w:color w:val="000000"/>
              </w:rPr>
            </w:pPr>
          </w:p>
        </w:tc>
        <w:tc>
          <w:tcPr>
            <w:tcW w:w="1370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</w:tr>
      <w:tr>
        <w:tblPrEx>
          <w:tblBorders/>
        </w:tblPrEx>
        <w:trPr>
          <w:trHeight w:hRule="atLeast" w:val="1474"/>
          <w:gridAfter w:val="1"/>
          <w:wAfter w:val="22" w:type="dxa"/>
        </w:trPr>
        <w:tc>
          <w:tcPr>
            <w:tcW w:w="709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Aptos Narrow" w:hAnsi="Aptos Narrow" w:cs="Calibri"/>
                <w:color w:val="000000"/>
              </w:rPr>
            </w:pPr>
          </w:p>
        </w:tc>
        <w:tc>
          <w:tcPr>
            <w:tcW w:w="1370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</w:tr>
      <w:tr>
        <w:tblPrEx>
          <w:tblBorders/>
        </w:tblPrEx>
        <w:trPr>
          <w:trHeight w:hRule="atLeast" w:val="1474"/>
          <w:gridAfter w:val="1"/>
          <w:wAfter w:val="22" w:type="dxa"/>
        </w:trPr>
        <w:tc>
          <w:tcPr>
            <w:tcW w:w="709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Aptos Narrow" w:hAnsi="Aptos Narrow" w:cs="Calibri"/>
                <w:color w:val="000000"/>
              </w:rPr>
            </w:pPr>
          </w:p>
        </w:tc>
        <w:tc>
          <w:tcPr>
            <w:tcW w:w="1370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</w:tr>
      <w:tr>
        <w:tblPrEx>
          <w:tblBorders/>
        </w:tblPrEx>
        <w:trPr>
          <w:trHeight w:hRule="atLeast" w:val="1474"/>
          <w:gridAfter w:val="1"/>
          <w:wAfter w:val="22" w:type="dxa"/>
        </w:trPr>
        <w:tc>
          <w:tcPr>
            <w:tcW w:w="709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Aptos Narrow" w:hAnsi="Aptos Narrow" w:cs="Calibri"/>
                <w:color w:val="000000"/>
              </w:rPr>
            </w:pPr>
          </w:p>
        </w:tc>
        <w:tc>
          <w:tcPr>
            <w:tcW w:w="1370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</w:tr>
      <w:tr>
        <w:tblPrEx>
          <w:tblBorders/>
        </w:tblPrEx>
        <w:trPr>
          <w:trHeight w:hRule="atLeast" w:val="1474"/>
          <w:gridAfter w:val="1"/>
          <w:wAfter w:val="22" w:type="dxa"/>
        </w:trPr>
        <w:tc>
          <w:tcPr>
            <w:tcW w:w="709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Aptos Narrow" w:hAnsi="Aptos Narrow" w:cs="Calibri"/>
                <w:color w:val="000000"/>
              </w:rPr>
            </w:pPr>
          </w:p>
        </w:tc>
        <w:tc>
          <w:tcPr>
            <w:tcW w:w="1370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985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</w:tr>
      <w:tr>
        <w:tblPrEx>
          <w:tblBorders/>
        </w:tblPrEx>
        <w:trPr>
          <w:trHeight w:hRule="atLeast" w:val="1474"/>
          <w:gridAfter w:val="1"/>
          <w:wAfter w:val="22" w:type="dxa"/>
        </w:trPr>
        <w:tc>
          <w:tcPr>
            <w:tcW w:w="709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370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2268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5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</w:tr>
      <w:tr>
        <w:tblPrEx>
          <w:tblBorders/>
        </w:tblPrEx>
        <w:trPr>
          <w:trHeight w:hRule="atLeast" w:val="1474"/>
          <w:gridAfter w:val="1"/>
          <w:wAfter w:val="22" w:type="dxa"/>
        </w:trPr>
        <w:tc>
          <w:tcPr>
            <w:tcW w:w="709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370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2268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5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</w:tr>
      <w:tr>
        <w:tblPrEx>
          <w:tblBorders/>
        </w:tblPrEx>
        <w:trPr>
          <w:trHeight w:hRule="atLeast" w:val="1474"/>
          <w:gridAfter w:val="1"/>
          <w:wAfter w:val="22" w:type="dxa"/>
        </w:trPr>
        <w:tc>
          <w:tcPr>
            <w:tcW w:w="709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417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13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370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2268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5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  <w:tc>
          <w:tcPr>
            <w:tcW w:w="1984" w:type="dxa"/>
            <w:tcBorders/>
            <w:shd w:fill="auto" w:color="auto"/>
            <w:vAlign w:val="center"/>
          </w:tcPr>
          <w:p>
            <w:pPr>
              <w:pBdr/>
              <w:pStyle w:val="Normal"/>
              <w:spacing w:after="0" w:line="240" w:lineRule="auto"/>
              <w:ind/>
              <w:jc w:val="center"/>
              <w:rPr/>
            </w:pPr>
          </w:p>
        </w:tc>
      </w:tr>
    </w:tbl>
    <w:p>
      <w:pPr>
        <w:pBdr/>
        <w:pStyle w:val="Normal"/>
        <w:spacing/>
        <w:ind/>
        <w:jc w:val="center"/>
        <w:rPr/>
      </w:pPr>
    </w:p>
    <w:sectPr>
      <w:type w:val="nextPage"/>
      <w:pgSz w:w="12240" w:h="15840"/>
      <w:pgMar w:top="720" w:right="720" w:bottom="720" w:left="72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 w:after="0" w:line="240" w:lineRule="auto"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 w:after="0" w:line="240" w:lineRule="auto"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 w:after="0" w:line="240" w:lineRule="auto"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 w:after="0" w:line="240" w:lineRule="auto"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 w:after="0" w:line="240" w:lineRule="auto"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 w:after="0" w:line="240" w:lineRule="auto"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041111"/>
    <w:lvl w:ilvl="0">
      <w:start w:val="0"/>
      <w:numFmt w:val="bullet"/>
      <w:suff w:val="tab"/>
      <w:lvlText w:val=""/>
      <w:pPr>
        <w:pBdr/>
        <w:spacing/>
        <w:ind w:left="720" w:hanging="360"/>
      </w:pPr>
      <w:rPr>
        <w:rFonts w:ascii="Wingdings" w:hAnsi="Wingdings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1">
    <w:nsid w:val="54B03DBA"/>
    <w:lvl w:ilvl="0">
      <w:start w:val="0"/>
      <w:numFmt w:val="bullet"/>
      <w:suff w:val="tab"/>
      <w:lvlText w:val=""/>
      <w:pPr>
        <w:pBdr/>
        <w:spacing/>
        <w:ind w:left="720" w:hanging="360"/>
      </w:pPr>
      <w:rPr>
        <w:rFonts w:ascii="Wingdings" w:hAnsi="Wingdings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2">
    <w:nsid w:val="5B2274CD"/>
    <w:lvl w:ilvl="0">
      <w:start w:val="0"/>
      <w:numFmt w:val="bullet"/>
      <w:suff w:val="tab"/>
      <w:lvlText w:val=""/>
      <w:pPr>
        <w:pBdr/>
        <w:spacing/>
        <w:ind w:left="720" w:hanging="360"/>
      </w:pPr>
      <w:rPr>
        <w:rFonts w:ascii="Wingdings" w:hAnsi="Wingdings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abstractNum w:abstractNumId="3">
    <w:nsid w:val="7D545CCA"/>
    <w:lvl w:ilvl="0">
      <w:start w:val="0"/>
      <w:numFmt w:val="bullet"/>
      <w:suff w:val="tab"/>
      <w:lvlText w:val=""/>
      <w:pPr>
        <w:pBdr/>
        <w:spacing/>
        <w:ind w:left="720" w:hanging="360"/>
      </w:pPr>
      <w:rPr>
        <w:rFonts w:ascii="Wingdings" w:hAnsi="Wingdings" w:hint="default"/>
      </w:rPr>
    </w:lvl>
    <w:lvl w:ilvl="1">
      <w:start w:val="0"/>
      <w:numFmt w:val="bullet"/>
      <w:suff w:val="tab"/>
      <w:lvlText w:val="o"/>
      <w:pPr>
        <w:pBdr/>
        <w:spacing/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US" w:bidi="ar-SA"/>
  <w:displayBackgroundShape/>
  <w:defaultTabStop w:val="708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</w:rPr>
    </w:rPrDefault>
    <w:pPrDefault>
      <w:pPr>
        <w:pBdr/>
        <w:keepNext w:val="0"/>
        <w:keepLines w:val="0"/>
        <w:outlineLvl w:val="9"/>
        <w:spacing w:before="0" w:after="160" w:line="259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Header">
    <w:name w:val="Header"/>
    <w:basedOn w:val="Normal"/>
    <w:next w:val="Header"/>
    <w:link w:val="Head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Header Char">
    <w:name w:val="Header Char"/>
    <w:basedOn w:val="Default Paragraph Font"/>
    <w:rPr/>
  </w:style>
  <w:style w:type="paragraph" w:styleId="Footer">
    <w:name w:val="Footer"/>
    <w:basedOn w:val="Normal"/>
    <w:next w:val="Footer"/>
    <w:link w:val="Footer Char"/>
    <w:pPr>
      <w:pBdr/>
      <w:spacing w:after="0" w:line="240" w:lineRule="auto"/>
      <w:ind/>
      <w:tabs>
        <w:tab w:val="center" w:pos="4680"/>
        <w:tab w:val="right" w:pos="9360"/>
      </w:tabs>
    </w:pPr>
    <w:rPr/>
  </w:style>
  <w:style w:type="character" w:styleId="Footer Char">
    <w:name w:val="Footer Char"/>
    <w:basedOn w:val="Default Paragraph Font"/>
    <w:rPr/>
  </w:style>
  <w:style w:type="paragraph" w:styleId="List Paragraph">
    <w:name w:val="List Paragraph"/>
    <w:basedOn w:val="Normal"/>
    <w:next w:val="List Paragraph"/>
    <w:pPr>
      <w:pBdr/>
      <w:spacing w:after="0" w:line="240" w:lineRule="auto"/>
      <w:contextualSpacing/>
      <w:ind w:left="720"/>
    </w:pPr>
    <w:rPr>
      <w:rFonts w:ascii="Arial" w:eastAsia="Times New Roman" w:hAnsi="Arial" w:cs="Times New Roman"/>
      <w:color w:val="000000"/>
      <w:sz w:val="24"/>
      <w:szCs w:val="24"/>
    </w:rPr>
  </w:style>
  <w:style w:type="character" w:styleId="Hyperlink">
    <w:name w:val="Hyperlink"/>
    <w:basedOn w:val="Default Paragraph Font"/>
    <w:rPr>
      <w:color w:val="467886"/>
      <w:u w:val="single"/>
    </w:rPr>
  </w:style>
  <w:style w:type="character" w:styleId="FollowedHyperlink">
    <w:name w:val="FollowedHyperlink"/>
    <w:basedOn w:val="Default Paragraph Font"/>
    <w:rPr>
      <w:color w:val="96607D"/>
      <w:u w:val="single"/>
    </w:rPr>
  </w:style>
  <w:style w:type="paragraph" w:styleId="msonormal">
    <w:name w:val="msonormal"/>
    <w:basedOn w:val="Normal"/>
    <w:next w:val="msonormal"/>
    <w:pPr>
      <w:pBdr/>
      <w:spacing w:before="100" w:beforeAutospacing="true" w:after="100" w:afterAutospacing="true" w:line="240" w:lineRule="auto"/>
      <w:ind/>
    </w:pPr>
    <w:rPr>
      <w:rFonts w:ascii="Times New Roman" w:eastAsia="Times New Roman" w:hAnsi="Times New Roman" w:cs="Times New Roman"/>
      <w:sz w:val="24"/>
      <w:szCs w:val="24"/>
    </w:rPr>
  </w:style>
  <w:style w:type="paragraph" w:styleId="xl65">
    <w:name w:val="xl65"/>
    <w:basedOn w:val="Normal"/>
    <w:next w:val="xl65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true" w:after="100" w:afterAutospacing="true" w:line="240" w:lineRule="auto"/>
      <w:ind/>
      <w:jc w:val="center"/>
    </w:pPr>
    <w:rPr>
      <w:rFonts w:ascii="Calibri" w:eastAsia="Times New Roman" w:hAnsi="Calibri" w:cs="Calibri"/>
      <w:color w:val="000000"/>
      <w:sz w:val="36"/>
      <w:szCs w:val="36"/>
    </w:rPr>
  </w:style>
  <w:style w:type="paragraph" w:styleId="xl66">
    <w:name w:val="xl66"/>
    <w:basedOn w:val="Normal"/>
    <w:next w:val="xl66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true" w:after="100" w:afterAutospacing="true" w:line="240" w:lineRule="auto"/>
      <w:ind/>
      <w:jc w:val="center"/>
    </w:pPr>
    <w:rPr>
      <w:rFonts w:ascii="Times New Roman" w:eastAsia="Times New Roman" w:hAnsi="Times New Roman" w:cs="Times New Roman"/>
      <w:color w:val="000000"/>
      <w:sz w:val="36"/>
      <w:szCs w:val="36"/>
    </w:rPr>
  </w:style>
  <w:style w:type="paragraph" w:styleId="xl67">
    <w:name w:val="xl67"/>
    <w:basedOn w:val="Normal"/>
    <w:next w:val="xl67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true" w:after="100" w:afterAutospacing="true" w:line="240" w:lineRule="auto"/>
      <w:ind/>
      <w:jc w:val="center"/>
    </w:pPr>
    <w:rPr>
      <w:rFonts w:ascii="Calibri" w:eastAsia="Times New Roman" w:hAnsi="Calibri" w:cs="Calibri"/>
      <w:color w:val="000000"/>
      <w:sz w:val="36"/>
      <w:szCs w:val="36"/>
    </w:rPr>
  </w:style>
  <w:style w:type="paragraph" w:styleId="xl68">
    <w:name w:val="xl68"/>
    <w:basedOn w:val="Normal"/>
    <w:next w:val="xl68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true" w:after="100" w:afterAutospacing="true" w:line="240" w:lineRule="auto"/>
      <w:ind/>
      <w:jc w:val="center"/>
    </w:pPr>
    <w:rPr>
      <w:rFonts w:ascii="Calibri" w:eastAsia="Times New Roman" w:hAnsi="Calibri" w:cs="Calibri"/>
      <w:color w:val="000000"/>
      <w:sz w:val="36"/>
      <w:szCs w:val="36"/>
    </w:rPr>
  </w:style>
  <w:style w:type="paragraph" w:styleId="xl69">
    <w:name w:val="xl69"/>
    <w:basedOn w:val="Normal"/>
    <w:next w:val="xl69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true" w:after="100" w:afterAutospacing="true" w:line="240" w:lineRule="auto"/>
      <w:ind/>
      <w:jc w:val="center"/>
    </w:pPr>
    <w:rPr>
      <w:rFonts w:ascii="Calibri" w:eastAsia="Times New Roman" w:hAnsi="Calibri" w:cs="Calibri"/>
      <w:color w:val="000000"/>
      <w:sz w:val="36"/>
      <w:szCs w:val="36"/>
    </w:rPr>
  </w:style>
  <w:style w:type="paragraph" w:styleId="xl70">
    <w:name w:val="xl70"/>
    <w:basedOn w:val="Normal"/>
    <w:next w:val="xl70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true" w:after="100" w:afterAutospacing="true" w:line="240" w:lineRule="auto"/>
      <w:ind/>
      <w:jc w:val="center"/>
    </w:pPr>
    <w:rPr>
      <w:rFonts w:ascii="Calibri" w:eastAsia="Times New Roman" w:hAnsi="Calibri" w:cs="Calibri"/>
      <w:color w:val="000000"/>
      <w:sz w:val="36"/>
      <w:szCs w:val="36"/>
    </w:rPr>
  </w:style>
  <w:style w:type="paragraph" w:styleId="xl71">
    <w:name w:val="xl71"/>
    <w:basedOn w:val="Normal"/>
    <w:next w:val="xl71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true" w:after="100" w:afterAutospacing="true" w:line="240" w:lineRule="auto"/>
      <w:ind/>
    </w:pPr>
    <w:rPr>
      <w:rFonts w:ascii="Calibri" w:eastAsia="Times New Roman" w:hAnsi="Calibri" w:cs="Calibri"/>
      <w:color w:val="000000"/>
      <w:sz w:val="36"/>
      <w:szCs w:val="36"/>
    </w:rPr>
  </w:style>
  <w:style w:type="paragraph" w:styleId="xl72">
    <w:name w:val="xl72"/>
    <w:basedOn w:val="Normal"/>
    <w:next w:val="xl72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before="100" w:beforeAutospacing="true" w:after="100" w:afterAutospacing="true" w:line="240" w:lineRule="auto"/>
      <w:ind/>
      <w:jc w:val="center"/>
    </w:pPr>
    <w:rPr>
      <w:rFonts w:ascii="Calibri" w:eastAsia="Times New Roman" w:hAnsi="Calibri" w:cs="Calibri"/>
      <w:color w:val="000000"/>
      <w:sz w:val="36"/>
      <w:szCs w:val="36"/>
    </w:rPr>
  </w:style>
  <w:style w:type="table" w:styleId="Table Grid">
    <w:name w:val="Table Grid"/>
    <w:basedOn w:val="Normal Table"/>
    <w:next w:val="Table Grid"/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endnotes.xml" Type="http://schemas.openxmlformats.org/officeDocument/2006/relationships/endnotes"/><Relationship Id="rId4" Target="footnotes.xml" Type="http://schemas.openxmlformats.org/officeDocument/2006/relationships/footnotes"/><Relationship Id="rId5" Target="theme/theme1.xml" Type="http://schemas.openxmlformats.org/officeDocument/2006/relationships/theme"/><Relationship Id="rId6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