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A2D0F" w14:textId="77777777" w:rsidR="003F3741" w:rsidRPr="003F3741" w:rsidRDefault="5E57C30C" w:rsidP="5E57C30C">
      <w:pPr>
        <w:spacing w:after="0"/>
        <w:contextualSpacing/>
        <w:jc w:val="center"/>
        <w:rPr>
          <w:sz w:val="48"/>
          <w:szCs w:val="48"/>
        </w:rPr>
      </w:pPr>
      <w:r w:rsidRPr="5E57C30C">
        <w:rPr>
          <w:sz w:val="48"/>
          <w:szCs w:val="48"/>
        </w:rPr>
        <w:t xml:space="preserve">Team Name: Los </w:t>
      </w:r>
      <w:proofErr w:type="spellStart"/>
      <w:r w:rsidRPr="5E57C30C">
        <w:rPr>
          <w:sz w:val="48"/>
          <w:szCs w:val="48"/>
        </w:rPr>
        <w:t>Datos</w:t>
      </w:r>
      <w:proofErr w:type="spellEnd"/>
    </w:p>
    <w:p w14:paraId="316F6F08" w14:textId="77777777" w:rsidR="003F3741" w:rsidRPr="003F3741" w:rsidRDefault="003F3741" w:rsidP="003F3741">
      <w:pPr>
        <w:spacing w:after="0"/>
        <w:contextualSpacing/>
        <w:jc w:val="center"/>
      </w:pPr>
    </w:p>
    <w:p w14:paraId="1B034825" w14:textId="77777777" w:rsidR="003F3741" w:rsidRPr="003F3741" w:rsidRDefault="003F3741" w:rsidP="003F3741">
      <w:pPr>
        <w:spacing w:after="0"/>
        <w:contextualSpacing/>
        <w:jc w:val="center"/>
      </w:pPr>
    </w:p>
    <w:p w14:paraId="67F37CCB" w14:textId="77777777" w:rsidR="003F3741" w:rsidRPr="003F3741" w:rsidRDefault="003F3741" w:rsidP="003F3741">
      <w:pPr>
        <w:spacing w:after="0"/>
        <w:contextualSpacing/>
        <w:jc w:val="center"/>
      </w:pPr>
    </w:p>
    <w:p w14:paraId="03077149" w14:textId="77777777" w:rsidR="003F3741" w:rsidRPr="003F3741" w:rsidRDefault="003F3741" w:rsidP="003F3741">
      <w:pPr>
        <w:spacing w:after="0"/>
        <w:contextualSpacing/>
        <w:jc w:val="center"/>
      </w:pPr>
    </w:p>
    <w:p w14:paraId="4F91A275" w14:textId="77777777" w:rsidR="003F3741" w:rsidRPr="003F3741" w:rsidRDefault="003F3741" w:rsidP="003F3741">
      <w:pPr>
        <w:spacing w:after="0"/>
        <w:contextualSpacing/>
        <w:jc w:val="center"/>
      </w:pPr>
    </w:p>
    <w:p w14:paraId="21125167" w14:textId="77777777" w:rsidR="003F3741" w:rsidRPr="003F3741" w:rsidRDefault="003F3741" w:rsidP="003F3741">
      <w:pPr>
        <w:spacing w:after="0"/>
        <w:contextualSpacing/>
        <w:jc w:val="center"/>
      </w:pPr>
    </w:p>
    <w:p w14:paraId="56C9A04D" w14:textId="77777777" w:rsidR="003F3741" w:rsidRPr="003F3741" w:rsidRDefault="003F3741" w:rsidP="003F3741">
      <w:pPr>
        <w:spacing w:after="0"/>
        <w:contextualSpacing/>
        <w:jc w:val="center"/>
      </w:pPr>
    </w:p>
    <w:p w14:paraId="1017998B" w14:textId="77777777" w:rsidR="003F3741" w:rsidRPr="003F3741" w:rsidRDefault="003F3741" w:rsidP="003F3741">
      <w:pPr>
        <w:spacing w:after="0"/>
        <w:contextualSpacing/>
        <w:jc w:val="center"/>
      </w:pPr>
    </w:p>
    <w:p w14:paraId="746A2EBA" w14:textId="77777777" w:rsidR="003F3741" w:rsidRPr="003F3741" w:rsidRDefault="003F3741" w:rsidP="003F3741">
      <w:pPr>
        <w:spacing w:after="0"/>
        <w:contextualSpacing/>
        <w:jc w:val="center"/>
      </w:pPr>
    </w:p>
    <w:p w14:paraId="288F8F7B" w14:textId="77777777" w:rsidR="003F3741" w:rsidRPr="003F3741" w:rsidRDefault="003F3741" w:rsidP="003F3741">
      <w:pPr>
        <w:spacing w:after="0"/>
        <w:contextualSpacing/>
        <w:jc w:val="center"/>
      </w:pPr>
    </w:p>
    <w:p w14:paraId="2680298B" w14:textId="77777777" w:rsidR="003F3741" w:rsidRPr="003F3741" w:rsidRDefault="129F82AC" w:rsidP="129F82AC">
      <w:pPr>
        <w:spacing w:after="0"/>
        <w:contextualSpacing/>
        <w:jc w:val="center"/>
        <w:rPr>
          <w:sz w:val="72"/>
          <w:szCs w:val="72"/>
        </w:rPr>
      </w:pPr>
      <w:r w:rsidRPr="129F82AC">
        <w:rPr>
          <w:sz w:val="72"/>
          <w:szCs w:val="72"/>
        </w:rPr>
        <w:t>Student Loan Prediction and Repayment Risk</w:t>
      </w:r>
    </w:p>
    <w:p w14:paraId="1DC67464" w14:textId="77777777" w:rsidR="003F3741" w:rsidRPr="003F3741" w:rsidRDefault="003F3741" w:rsidP="003F3741">
      <w:pPr>
        <w:spacing w:after="0"/>
        <w:contextualSpacing/>
        <w:jc w:val="center"/>
      </w:pPr>
      <w:r w:rsidRPr="003F3741">
        <w:rPr>
          <w:noProof/>
        </w:rPr>
        <mc:AlternateContent>
          <mc:Choice Requires="wps">
            <w:drawing>
              <wp:anchor distT="4294967295" distB="4294967295" distL="114300" distR="114300" simplePos="0" relativeHeight="251659264" behindDoc="0" locked="0" layoutInCell="1" allowOverlap="1" wp14:anchorId="55327E7B" wp14:editId="0D2B0922">
                <wp:simplePos x="0" y="0"/>
                <wp:positionH relativeFrom="column">
                  <wp:posOffset>694055</wp:posOffset>
                </wp:positionH>
                <wp:positionV relativeFrom="paragraph">
                  <wp:posOffset>114299</wp:posOffset>
                </wp:positionV>
                <wp:extent cx="544322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220" cy="0"/>
                        </a:xfrm>
                        <a:prstGeom prst="straightConnector1">
                          <a:avLst/>
                        </a:prstGeom>
                        <a:noFill/>
                        <a:ln w="25400">
                          <a:solidFill>
                            <a:srgbClr val="C0504D">
                              <a:lumMod val="100000"/>
                              <a:lumOff val="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6="http://schemas.microsoft.com/office/drawing/2014/main" xmlns:pic="http://schemas.openxmlformats.org/drawingml/2006/picture" xmlns:a14="http://schemas.microsoft.com/office/drawing/2010/main" xmlns:a="http://schemas.openxmlformats.org/drawingml/2006/main">
            <w:pict>
              <v:shapetype id="_x0000_t32" coordsize="21600,21600" o:oned="t" filled="f" o:spt="32" path="m,l21600,21600e" w14:anchorId="4C245FF1">
                <v:path fillok="f" arrowok="t" o:connecttype="none"/>
                <o:lock v:ext="edit" shapetype="t"/>
              </v:shapetype>
              <v:shape id="Straight Arrow Connector 2" style="position:absolute;margin-left:54.65pt;margin-top:9pt;width:428.6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c0504d"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"/>
            </w:pict>
          </mc:Fallback>
        </mc:AlternateContent>
      </w:r>
    </w:p>
    <w:p w14:paraId="616BF153" w14:textId="77777777" w:rsidR="003F3741" w:rsidRPr="003F3741" w:rsidRDefault="129F82AC" w:rsidP="129F82AC">
      <w:pPr>
        <w:spacing w:after="0"/>
        <w:contextualSpacing/>
        <w:jc w:val="center"/>
        <w:rPr>
          <w:sz w:val="52"/>
          <w:szCs w:val="52"/>
        </w:rPr>
      </w:pPr>
      <w:r w:rsidRPr="129F82AC">
        <w:rPr>
          <w:sz w:val="52"/>
          <w:szCs w:val="52"/>
        </w:rPr>
        <w:t>What are the potential risks associated with student debt and what are the best methods of mitigation?</w:t>
      </w:r>
    </w:p>
    <w:p w14:paraId="0515E48F" w14:textId="77777777" w:rsidR="003F3741" w:rsidRPr="003F3741" w:rsidRDefault="003F3741" w:rsidP="003F3741">
      <w:pPr>
        <w:spacing w:after="0"/>
        <w:contextualSpacing/>
        <w:jc w:val="center"/>
        <w:rPr>
          <w:sz w:val="32"/>
          <w:szCs w:val="52"/>
        </w:rPr>
      </w:pPr>
    </w:p>
    <w:p w14:paraId="33EDE88A" w14:textId="026F375E" w:rsidR="003F3741" w:rsidRDefault="129F82AC" w:rsidP="129F82AC">
      <w:pPr>
        <w:spacing w:after="0"/>
        <w:contextualSpacing/>
        <w:jc w:val="center"/>
        <w:rPr>
          <w:sz w:val="28"/>
          <w:szCs w:val="28"/>
        </w:rPr>
      </w:pPr>
      <w:r w:rsidRPr="129F82AC">
        <w:rPr>
          <w:sz w:val="28"/>
          <w:szCs w:val="28"/>
        </w:rPr>
        <w:t xml:space="preserve">Team Website: </w:t>
      </w:r>
      <w:hyperlink r:id="rId8">
        <w:r w:rsidRPr="129F82AC">
          <w:rPr>
            <w:color w:val="0000FF"/>
            <w:sz w:val="28"/>
            <w:szCs w:val="28"/>
            <w:u w:val="single"/>
          </w:rPr>
          <w:t>teamlosdatos.wixsite.com/</w:t>
        </w:r>
        <w:proofErr w:type="spellStart"/>
        <w:r w:rsidRPr="129F82AC">
          <w:rPr>
            <w:color w:val="0000FF"/>
            <w:sz w:val="28"/>
            <w:szCs w:val="28"/>
            <w:u w:val="single"/>
          </w:rPr>
          <w:t>studentloan</w:t>
        </w:r>
        <w:proofErr w:type="spellEnd"/>
      </w:hyperlink>
    </w:p>
    <w:p w14:paraId="7FABBE7A" w14:textId="165BDD02" w:rsidR="0077701F" w:rsidRPr="003F3741" w:rsidRDefault="129F82AC" w:rsidP="129F82AC">
      <w:pPr>
        <w:spacing w:after="0"/>
        <w:contextualSpacing/>
        <w:jc w:val="center"/>
        <w:rPr>
          <w:sz w:val="28"/>
          <w:szCs w:val="28"/>
        </w:rPr>
      </w:pPr>
      <w:r w:rsidRPr="129F82AC">
        <w:rPr>
          <w:sz w:val="28"/>
          <w:szCs w:val="28"/>
        </w:rPr>
        <w:t xml:space="preserve">Team Email: </w:t>
      </w:r>
      <w:hyperlink r:id="rId9">
        <w:r w:rsidRPr="129F82AC">
          <w:rPr>
            <w:rStyle w:val="Hyperlink"/>
            <w:sz w:val="28"/>
            <w:szCs w:val="28"/>
          </w:rPr>
          <w:t>teamlosdatos@gmail.com</w:t>
        </w:r>
      </w:hyperlink>
    </w:p>
    <w:p w14:paraId="48FEBE83" w14:textId="77777777" w:rsidR="003F3741" w:rsidRPr="003F3741" w:rsidRDefault="129F82AC" w:rsidP="129F82AC">
      <w:pPr>
        <w:spacing w:after="0"/>
        <w:contextualSpacing/>
        <w:jc w:val="center"/>
        <w:rPr>
          <w:sz w:val="28"/>
          <w:szCs w:val="28"/>
        </w:rPr>
      </w:pPr>
      <w:r w:rsidRPr="129F82AC">
        <w:rPr>
          <w:sz w:val="28"/>
          <w:szCs w:val="28"/>
        </w:rPr>
        <w:t xml:space="preserve">Dataset: </w:t>
      </w:r>
      <w:hyperlink r:id="rId10">
        <w:r w:rsidRPr="129F82AC">
          <w:rPr>
            <w:color w:val="0000FF"/>
            <w:sz w:val="28"/>
            <w:szCs w:val="28"/>
            <w:u w:val="single"/>
          </w:rPr>
          <w:t>https://www.brookings.edu/research/the-student-loan-crisis-a-look-at-the-data</w:t>
        </w:r>
      </w:hyperlink>
    </w:p>
    <w:p w14:paraId="6FDF9342" w14:textId="77777777" w:rsidR="003F3741" w:rsidRPr="003F3741" w:rsidRDefault="003F3741" w:rsidP="003F3741">
      <w:pPr>
        <w:spacing w:after="0"/>
        <w:contextualSpacing/>
        <w:jc w:val="center"/>
        <w:rPr>
          <w:sz w:val="36"/>
          <w:szCs w:val="52"/>
        </w:rPr>
      </w:pPr>
    </w:p>
    <w:p w14:paraId="09454316" w14:textId="3E12EFE9" w:rsidR="003F3741" w:rsidRDefault="003F3741" w:rsidP="003F3741">
      <w:pPr>
        <w:spacing w:after="0"/>
        <w:contextualSpacing/>
        <w:jc w:val="center"/>
      </w:pPr>
    </w:p>
    <w:p w14:paraId="778A93F5" w14:textId="1A5B27CD" w:rsidR="0077701F" w:rsidRDefault="0077701F" w:rsidP="003F3741">
      <w:pPr>
        <w:spacing w:after="0"/>
        <w:contextualSpacing/>
        <w:jc w:val="center"/>
      </w:pPr>
    </w:p>
    <w:p w14:paraId="36129873" w14:textId="77777777" w:rsidR="0077701F" w:rsidRPr="003F3741" w:rsidRDefault="0077701F" w:rsidP="003F3741">
      <w:pPr>
        <w:spacing w:after="0"/>
        <w:contextualSpacing/>
        <w:jc w:val="center"/>
      </w:pPr>
    </w:p>
    <w:p w14:paraId="412B5545" w14:textId="77777777" w:rsidR="003F3741" w:rsidRPr="003F3741" w:rsidRDefault="003F3741" w:rsidP="003F3741">
      <w:pPr>
        <w:spacing w:after="0"/>
        <w:contextualSpacing/>
        <w:jc w:val="center"/>
      </w:pPr>
    </w:p>
    <w:p w14:paraId="36730D56" w14:textId="77777777" w:rsidR="003F3741" w:rsidRPr="003F3741" w:rsidRDefault="003F3741" w:rsidP="003F3741">
      <w:pPr>
        <w:spacing w:after="0"/>
        <w:contextualSpacing/>
        <w:jc w:val="center"/>
      </w:pPr>
    </w:p>
    <w:p w14:paraId="76D36AD7" w14:textId="77777777" w:rsidR="003F3741" w:rsidRPr="003F3741" w:rsidRDefault="003F3741" w:rsidP="003F3741">
      <w:pPr>
        <w:spacing w:after="0"/>
        <w:contextualSpacing/>
        <w:jc w:val="center"/>
      </w:pPr>
    </w:p>
    <w:p w14:paraId="27B6A8B4" w14:textId="77777777" w:rsidR="003F3741" w:rsidRPr="003F3741" w:rsidRDefault="129F82AC" w:rsidP="003F3741">
      <w:pPr>
        <w:spacing w:after="0"/>
        <w:contextualSpacing/>
        <w:jc w:val="center"/>
      </w:pPr>
      <w:r>
        <w:t xml:space="preserve">Authors: </w:t>
      </w:r>
    </w:p>
    <w:p w14:paraId="2572B8C4" w14:textId="268F62E0" w:rsidR="003F3741" w:rsidRPr="003F3741" w:rsidRDefault="5E57C30C" w:rsidP="5E57C30C">
      <w:pPr>
        <w:spacing w:after="0"/>
        <w:contextualSpacing/>
        <w:jc w:val="center"/>
        <w:rPr>
          <w:sz w:val="32"/>
          <w:szCs w:val="32"/>
        </w:rPr>
      </w:pPr>
      <w:r w:rsidRPr="5E57C30C">
        <w:rPr>
          <w:sz w:val="32"/>
          <w:szCs w:val="32"/>
        </w:rPr>
        <w:t>Alfredo Antolinez</w:t>
      </w:r>
    </w:p>
    <w:p w14:paraId="3D26F399" w14:textId="77777777" w:rsidR="003F3741" w:rsidRPr="003F3741" w:rsidRDefault="129F82AC" w:rsidP="129F82AC">
      <w:pPr>
        <w:spacing w:after="0"/>
        <w:contextualSpacing/>
        <w:jc w:val="center"/>
        <w:rPr>
          <w:sz w:val="32"/>
          <w:szCs w:val="32"/>
        </w:rPr>
      </w:pPr>
      <w:r w:rsidRPr="129F82AC">
        <w:rPr>
          <w:sz w:val="32"/>
          <w:szCs w:val="32"/>
        </w:rPr>
        <w:t>Misti Stevens</w:t>
      </w:r>
    </w:p>
    <w:p w14:paraId="43655F75" w14:textId="0D86CF50" w:rsidR="003F3741" w:rsidRDefault="129F82AC" w:rsidP="003F3741">
      <w:pPr>
        <w:spacing w:after="0"/>
        <w:contextualSpacing/>
        <w:jc w:val="center"/>
      </w:pPr>
      <w:r w:rsidRPr="129F82AC">
        <w:rPr>
          <w:sz w:val="32"/>
          <w:szCs w:val="32"/>
        </w:rPr>
        <w:t>Omar Waller</w:t>
      </w:r>
    </w:p>
    <w:p w14:paraId="17AFB212" w14:textId="77777777" w:rsidR="003F3741" w:rsidRDefault="003F3741" w:rsidP="00DF22CE"/>
    <w:p w14:paraId="0D24D13A" w14:textId="5E6A4BED" w:rsidR="00DE2D81" w:rsidRPr="00DE2D81" w:rsidRDefault="00DE2D81" w:rsidP="00DE2D81">
      <w:pPr>
        <w:pStyle w:val="Heading1"/>
      </w:pPr>
      <w:bookmarkStart w:id="0" w:name="_Toc294859728"/>
      <w:bookmarkStart w:id="1" w:name="_Toc429337591"/>
      <w:bookmarkStart w:id="2" w:name="_Toc429337703"/>
      <w:bookmarkStart w:id="3" w:name="_Toc429337712"/>
      <w:bookmarkStart w:id="4" w:name="_Toc429338047"/>
      <w:r>
        <w:lastRenderedPageBreak/>
        <w:t>Introduction</w:t>
      </w:r>
    </w:p>
    <w:p w14:paraId="72DC1C6A" w14:textId="67C35046" w:rsidR="007B7242" w:rsidRDefault="129F82AC" w:rsidP="007B7242">
      <w:r>
        <w:t xml:space="preserve">Is college education the best investment after high school? How much will that investment cost? If student loan debt is inevitable, how much can I expect to pay given </w:t>
      </w:r>
      <w:r w:rsidR="008E3338">
        <w:t>the institution I attend</w:t>
      </w:r>
      <w:r>
        <w:t>? We hope to answer these questions and more throughout this project by performing a detailed analysis on a dataset used by Adam Looney at Brookings, a nonprofit public policy organization based in Washington, DC.</w:t>
      </w:r>
    </w:p>
    <w:p w14:paraId="0A0323C5" w14:textId="3809B4C6" w:rsidR="007B7242" w:rsidRDefault="129F82AC" w:rsidP="007B7242">
      <w:r>
        <w:t>Issues with student loans and financial aid touch nearly every college applicant across the nation. Tuition has increased exponentially over the last 50 years. This project is interesting because we hope to predict several key indicators like Overall Outstanding Principal Balance and Overall Repayment Rate for schools provided in the dataset. Additionally, we hope to predict student loan debt given indicators like the parent’s adjusted gross income (AGI) or an independent student’s AGI when applying to college.</w:t>
      </w:r>
    </w:p>
    <w:p w14:paraId="6768DC0E" w14:textId="6B81EC06" w:rsidR="007B7242" w:rsidRDefault="129F82AC" w:rsidP="007B7242">
      <w:r>
        <w:t>The beneficiaries of this project will be any college applicant looking to find information about student loan data given a school. This project will also give applicants an idea of what may be expected, given their financial makeup, regarding student loans at an institution.</w:t>
      </w:r>
    </w:p>
    <w:p w14:paraId="63AD87D6" w14:textId="77777777" w:rsidR="00DE2D81" w:rsidRPr="005166DE" w:rsidRDefault="00DE2D81" w:rsidP="00DE2D81">
      <w:pPr>
        <w:pStyle w:val="Heading2"/>
      </w:pPr>
      <w:r>
        <w:t>Project goals</w:t>
      </w:r>
    </w:p>
    <w:p w14:paraId="34876D45" w14:textId="02E4887E" w:rsidR="00DE2D81" w:rsidRDefault="3DD560CD" w:rsidP="00DE2D81">
      <w:pPr>
        <w:spacing w:after="0"/>
      </w:pPr>
      <w:r>
        <w:t>The primary objectives of this project are to...</w:t>
      </w:r>
    </w:p>
    <w:p w14:paraId="2353567C" w14:textId="733B6DA9" w:rsidR="00DE2D81" w:rsidRDefault="00DE2D81" w:rsidP="3DD560CD">
      <w:pPr>
        <w:spacing w:after="0"/>
      </w:pPr>
    </w:p>
    <w:p w14:paraId="03AB945F" w14:textId="4D727D14" w:rsidR="00DE2D81" w:rsidRDefault="3DD560CD" w:rsidP="3DD560CD">
      <w:pPr>
        <w:pStyle w:val="ListParagraph"/>
        <w:numPr>
          <w:ilvl w:val="0"/>
          <w:numId w:val="1"/>
        </w:numPr>
        <w:spacing w:after="0"/>
      </w:pPr>
      <w:r>
        <w:t>Classify the risk of borrowing student loans at various post-secondary institutions</w:t>
      </w:r>
    </w:p>
    <w:p w14:paraId="1A07F9B2" w14:textId="10327BA5" w:rsidR="00DE2D81" w:rsidRDefault="3DD560CD" w:rsidP="3DD560CD">
      <w:pPr>
        <w:pStyle w:val="ListParagraph"/>
        <w:numPr>
          <w:ilvl w:val="0"/>
          <w:numId w:val="1"/>
        </w:numPr>
        <w:spacing w:after="0"/>
      </w:pPr>
      <w:r>
        <w:t>Determine predictive reasoning capabilities of provided attribute data for determining the likelihood of student loan repayment</w:t>
      </w:r>
    </w:p>
    <w:p w14:paraId="7DB2FA68" w14:textId="55B2265A" w:rsidR="00DE2D81" w:rsidRDefault="3DD560CD" w:rsidP="3DD560CD">
      <w:pPr>
        <w:pStyle w:val="ListParagraph"/>
        <w:numPr>
          <w:ilvl w:val="0"/>
          <w:numId w:val="1"/>
        </w:numPr>
        <w:spacing w:after="0"/>
      </w:pPr>
      <w:r>
        <w:t xml:space="preserve">Create a model to predict the loan repayment risk associated with attending a </w:t>
      </w:r>
      <w:proofErr w:type="gramStart"/>
      <w:r>
        <w:t>particular school</w:t>
      </w:r>
      <w:proofErr w:type="gramEnd"/>
    </w:p>
    <w:p w14:paraId="0BD4836B" w14:textId="4FB5F58C" w:rsidR="00DE2D81" w:rsidRDefault="00DE2D81" w:rsidP="3DD560CD">
      <w:pPr>
        <w:spacing w:after="0"/>
      </w:pPr>
    </w:p>
    <w:p w14:paraId="7248889B" w14:textId="4883B8A7" w:rsidR="00DE2D81" w:rsidRDefault="3DD560CD" w:rsidP="3DD560CD">
      <w:pPr>
        <w:spacing w:after="0"/>
      </w:pPr>
      <w:r>
        <w:t>Each of these tasks will be expanded upon in following sections.</w:t>
      </w:r>
    </w:p>
    <w:p w14:paraId="497E8A79" w14:textId="285E0133" w:rsidR="00DE2D81" w:rsidRDefault="00DE2D81" w:rsidP="00DE2D81">
      <w:pPr>
        <w:pStyle w:val="Heading1"/>
      </w:pPr>
      <w:r>
        <w:t>Related Work</w:t>
      </w:r>
    </w:p>
    <w:p w14:paraId="3960C4BD" w14:textId="3E1CC119" w:rsidR="00D66F73" w:rsidRPr="00D66F73" w:rsidRDefault="00D66F73" w:rsidP="00D66F73">
      <w:r>
        <w:t>The following sections summarize works done by others that are related to this project.</w:t>
      </w:r>
    </w:p>
    <w:p w14:paraId="56F0E9CA" w14:textId="77777777" w:rsidR="00D66F73" w:rsidRDefault="00D66F73" w:rsidP="00D66F73">
      <w:pPr>
        <w:pStyle w:val="Heading2"/>
      </w:pPr>
      <w:r>
        <w:t>A Risk Sharing Proposal for Student Loans</w:t>
      </w:r>
    </w:p>
    <w:p w14:paraId="7345DCDF" w14:textId="77777777" w:rsidR="00D66F73" w:rsidRDefault="00D66F73" w:rsidP="00D66F73">
      <w:pPr>
        <w:spacing w:after="0"/>
      </w:pPr>
      <w:r>
        <w:t xml:space="preserve">The policy proposal titled "A Risk Sharing Proposal for Student Loans" by Tiffany Chou, Adam Looney and Tara Watson focuses on proposing a project "to introduce new and effective policy options" in order to improve economic opportunity for students </w:t>
      </w:r>
      <w:proofErr w:type="gramStart"/>
      <w:r>
        <w:t>in order to</w:t>
      </w:r>
      <w:proofErr w:type="gramEnd"/>
      <w:r>
        <w:t xml:space="preserve"> induce long-term prosperity. The proposal acknowledges the difficulty of students to repay their student loans at specific institutions. The paper basically proposes "an institutional accountability system" in order to align incentives of institutions with students and tax payers. The paper suggests various "risk-sharing" methods to analyze poor loan performance and overcome them through methods of mutual benefit </w:t>
      </w:r>
      <w:proofErr w:type="gramStart"/>
      <w:r>
        <w:t>in order to</w:t>
      </w:r>
      <w:proofErr w:type="gramEnd"/>
      <w:r>
        <w:t xml:space="preserve"> support both students and institutions that serve low-income students while also appropriately reimbursing the federal loan programs. </w:t>
      </w:r>
    </w:p>
    <w:p w14:paraId="5A3745D4" w14:textId="77777777" w:rsidR="00D66F73" w:rsidRDefault="00D66F73" w:rsidP="00D66F73">
      <w:pPr>
        <w:spacing w:after="0"/>
      </w:pPr>
    </w:p>
    <w:p w14:paraId="157EC8BC" w14:textId="77777777" w:rsidR="00D66F73" w:rsidRDefault="00D66F73" w:rsidP="00D66F73">
      <w:pPr>
        <w:spacing w:after="0"/>
      </w:pPr>
      <w:r>
        <w:lastRenderedPageBreak/>
        <w:t xml:space="preserve">The following is a link to the article: </w:t>
      </w:r>
    </w:p>
    <w:p w14:paraId="3BE78B4B" w14:textId="77777777" w:rsidR="00D66F73" w:rsidRDefault="00D66F73" w:rsidP="00D66F73">
      <w:pPr>
        <w:spacing w:after="0"/>
      </w:pPr>
    </w:p>
    <w:p w14:paraId="3CD7A286" w14:textId="77777777" w:rsidR="00D66F73" w:rsidRDefault="00E43020" w:rsidP="00D66F73">
      <w:pPr>
        <w:spacing w:after="0"/>
      </w:pPr>
      <w:hyperlink r:id="rId11">
        <w:r w:rsidR="00D66F73" w:rsidRPr="4DF5FDE6">
          <w:rPr>
            <w:rStyle w:val="Hyperlink"/>
            <w:rFonts w:eastAsia="GE Inspira Book" w:cs="GE Inspira Book"/>
          </w:rPr>
          <w:t>http://www.hamiltonproject.org/assets/files/risk_sharing_proposal_student_loans_pp.pdf</w:t>
        </w:r>
      </w:hyperlink>
    </w:p>
    <w:p w14:paraId="3782C632" w14:textId="77777777" w:rsidR="00D66F73" w:rsidRDefault="00D66F73" w:rsidP="00D66F73">
      <w:pPr>
        <w:spacing w:after="0"/>
        <w:rPr>
          <w:rFonts w:eastAsia="GE Inspira Book" w:cs="GE Inspira Book"/>
        </w:rPr>
      </w:pPr>
    </w:p>
    <w:p w14:paraId="2EFA4C00" w14:textId="77777777" w:rsidR="00D66F73" w:rsidRDefault="00D66F73" w:rsidP="00D66F73">
      <w:pPr>
        <w:pStyle w:val="Heading2"/>
      </w:pPr>
      <w:r>
        <w:t>Is High Student Loan Debt Always a Problem?</w:t>
      </w:r>
    </w:p>
    <w:p w14:paraId="53425BB0" w14:textId="77777777" w:rsidR="00D66F73" w:rsidRDefault="00D66F73" w:rsidP="00D66F73">
      <w:r>
        <w:t xml:space="preserve">This policy brief was written by Constantine </w:t>
      </w:r>
      <w:proofErr w:type="spellStart"/>
      <w:r>
        <w:t>Yannelis</w:t>
      </w:r>
      <w:proofErr w:type="spellEnd"/>
      <w:r>
        <w:t xml:space="preserve"> and Adam Looney in 2016 in conjunction with the Stanford Institute for Economic Policy Research. This short briefing summarizes key findings in the dataset offered. The primary finding being that students with high loan balances also tend to earn more. Therefore, the loan balance alone will not provide an accurate depiction of the student’s financial health. Contrary to my initial hypothesis, students with low loan balances, less than $10,000, default on their loans 5 times as much in comparison to their high loan counterparts. This makes sense, as high loan borrowers typically went to very selective institutions and likely went on to acquire a graduate degree (</w:t>
      </w:r>
      <w:proofErr w:type="spellStart"/>
      <w:r>
        <w:t>i.e</w:t>
      </w:r>
      <w:proofErr w:type="spellEnd"/>
      <w:r>
        <w:t xml:space="preserve"> PhD, JD, MBA). </w:t>
      </w:r>
    </w:p>
    <w:p w14:paraId="33C457EA" w14:textId="77777777" w:rsidR="00D66F73" w:rsidRDefault="00D66F73" w:rsidP="00D66F73">
      <w:r>
        <w:t xml:space="preserve">“Labor market outcomes, like unemployment or low earnings, provide a more direct measure of economic hardship” (Looney, A., &amp; </w:t>
      </w:r>
      <w:proofErr w:type="spellStart"/>
      <w:r>
        <w:t>Yannelis</w:t>
      </w:r>
      <w:proofErr w:type="spellEnd"/>
      <w:r>
        <w:t xml:space="preserve">, C. (2016)). This briefing suggests students should spend more time researching their field of study’s opportunities for employment and potential income in that field. A $50,000 investment may be worth it if you have the potential to make $110,000 upon graduation. </w:t>
      </w:r>
    </w:p>
    <w:p w14:paraId="0E6D71D8" w14:textId="77777777" w:rsidR="00D66F73" w:rsidRDefault="00D66F73" w:rsidP="00D66F73">
      <w:r>
        <w:t>The following is a link to the article:</w:t>
      </w:r>
    </w:p>
    <w:p w14:paraId="17B52A09" w14:textId="77777777" w:rsidR="00D66F73" w:rsidRDefault="00E43020" w:rsidP="00D66F73">
      <w:hyperlink r:id="rId12" w:history="1">
        <w:r w:rsidR="00D66F73" w:rsidRPr="00833691">
          <w:rPr>
            <w:rStyle w:val="Hyperlink"/>
          </w:rPr>
          <w:t>http://siepr.stanford.edu/sites/default/files/publications/PolicyBrief-July16.pdf</w:t>
        </w:r>
      </w:hyperlink>
    </w:p>
    <w:p w14:paraId="1C1A6873" w14:textId="77777777" w:rsidR="00D66F73" w:rsidRDefault="00D66F73" w:rsidP="00D66F73">
      <w:pPr>
        <w:pStyle w:val="Heading2"/>
      </w:pPr>
      <w:r>
        <w:t xml:space="preserve">A Crisis in Student Loans? How Changes in the Characteristics of Borrowers and in the </w:t>
      </w:r>
      <w:proofErr w:type="gramStart"/>
      <w:r>
        <w:t>Institutions</w:t>
      </w:r>
      <w:proofErr w:type="gramEnd"/>
      <w:r>
        <w:t xml:space="preserve"> They Attended Contributed to Rising Loan Defaults</w:t>
      </w:r>
    </w:p>
    <w:p w14:paraId="3C25BAB3" w14:textId="77777777" w:rsidR="00D66F73" w:rsidRDefault="00D66F73" w:rsidP="00D66F73">
      <w:r>
        <w:t xml:space="preserve">This article, written by Adam Looney and Constantine </w:t>
      </w:r>
      <w:proofErr w:type="spellStart"/>
      <w:r>
        <w:t>Yannelis</w:t>
      </w:r>
      <w:proofErr w:type="spellEnd"/>
      <w:r>
        <w:t xml:space="preserve"> in 2015, “examines </w:t>
      </w:r>
      <w:r w:rsidRPr="5E57C30C">
        <w:rPr>
          <w:rFonts w:asciiTheme="minorHAnsi" w:hAnsiTheme="minorHAnsi"/>
        </w:rPr>
        <w:t>the rise in student loan delinquency and default [A Crisis in Student Loans...]</w:t>
      </w:r>
      <w:r>
        <w:t xml:space="preserve">” by analyzing data gathered from the U.S. Department of Education. This data was collected using earning records produced from tax records and describes federal student borrowing habits. The research within the article found that the increase of student loan default is a consequence of borrowers attending for-profit schools, non-selective schools, and community colleges. Of these institutions, for-profit and non-selective schools are primarily responsible for the increase in student loan default. </w:t>
      </w:r>
    </w:p>
    <w:p w14:paraId="0E784457" w14:textId="77777777" w:rsidR="00D66F73" w:rsidRDefault="00D66F73" w:rsidP="00D66F73">
      <w:r>
        <w:t>The following is a link to the article:</w:t>
      </w:r>
    </w:p>
    <w:p w14:paraId="36E272E1" w14:textId="77777777" w:rsidR="00D66F73" w:rsidRDefault="00E43020" w:rsidP="00D66F73">
      <w:hyperlink r:id="rId13" w:history="1">
        <w:r w:rsidR="00D66F73" w:rsidRPr="00EF04CF">
          <w:rPr>
            <w:rStyle w:val="Hyperlink"/>
          </w:rPr>
          <w:t>https://www.brookings.edu/wp-content/uploads/2015/09/LooneyTextFall15BPEA.pdf</w:t>
        </w:r>
      </w:hyperlink>
    </w:p>
    <w:p w14:paraId="6916BE4B" w14:textId="151B202A" w:rsidR="00DE2D81" w:rsidRDefault="00DE2D81" w:rsidP="00DE2D81">
      <w:pPr>
        <w:pStyle w:val="Heading1"/>
        <w:spacing w:before="0"/>
      </w:pPr>
      <w:r>
        <w:t>Data Set and features</w:t>
      </w:r>
    </w:p>
    <w:p w14:paraId="288F409A" w14:textId="2071193E" w:rsidR="00DE2D81" w:rsidRDefault="00DE2D81" w:rsidP="00DE2D81">
      <w:pPr>
        <w:spacing w:after="0"/>
      </w:pPr>
      <w:r>
        <w:t xml:space="preserve">The data set to be used in this project is composed of a series of data tables containing higher education student financials data produced by the Federal Student Aid (FSA) which is an office of the U.S. Department of Education. The data includes populations of undergraduate, graduate and parent borrowers, as well as their respective loan borrowed </w:t>
      </w:r>
      <w:r>
        <w:lastRenderedPageBreak/>
        <w:t xml:space="preserve">amounts and repayments. </w:t>
      </w:r>
      <w:proofErr w:type="gramStart"/>
      <w:r>
        <w:t>These are tabulated by institution of origin</w:t>
      </w:r>
      <w:proofErr w:type="gramEnd"/>
      <w:r>
        <w:t xml:space="preserve">, meaning all the data including repayments rates are aggregated per institution. In addition to the </w:t>
      </w:r>
      <w:proofErr w:type="gramStart"/>
      <w:r>
        <w:t>aforementioned attributes</w:t>
      </w:r>
      <w:proofErr w:type="gramEnd"/>
      <w:r>
        <w:t>, other example attributes of the data set include the following: ethnic class, percentage of completion, independent and dependent borrowers count, Adjusted Gross Income (AGI) for independent, dependent and parent borrowers, borrowers with Pell grant, median ages of borrowers, etc.</w:t>
      </w:r>
    </w:p>
    <w:p w14:paraId="59EAC007" w14:textId="77777777" w:rsidR="00DE2D81" w:rsidRDefault="00DE2D81" w:rsidP="00DE2D81">
      <w:pPr>
        <w:pStyle w:val="Heading2"/>
      </w:pPr>
      <w:r>
        <w:t>Tools</w:t>
      </w:r>
    </w:p>
    <w:p w14:paraId="1DD5A3FD" w14:textId="77777777" w:rsidR="00DE2D81" w:rsidRDefault="00DE2D81" w:rsidP="00DE2D81">
      <w:pPr>
        <w:spacing w:after="0"/>
      </w:pPr>
      <w:r>
        <w:t>The following is a list of tools that will be used throughout the project. Tools or packages may be changed or added depending on project needs.</w:t>
      </w:r>
    </w:p>
    <w:p w14:paraId="2800D36A" w14:textId="77777777" w:rsidR="00DE2D81" w:rsidRDefault="00DE2D81" w:rsidP="00DE2D81">
      <w:pPr>
        <w:spacing w:after="0"/>
      </w:pPr>
    </w:p>
    <w:p w14:paraId="6D7A71C6" w14:textId="4C727676" w:rsidR="00316960" w:rsidRDefault="00316960" w:rsidP="00DE2D81">
      <w:pPr>
        <w:pStyle w:val="ListParagraph"/>
        <w:numPr>
          <w:ilvl w:val="0"/>
          <w:numId w:val="12"/>
        </w:numPr>
        <w:spacing w:after="0"/>
      </w:pPr>
      <w:r>
        <w:t>Excel</w:t>
      </w:r>
    </w:p>
    <w:p w14:paraId="42BB4D51" w14:textId="5E37734B" w:rsidR="00DE2D81" w:rsidRDefault="00DE2D81" w:rsidP="00DE2D81">
      <w:pPr>
        <w:pStyle w:val="ListParagraph"/>
        <w:numPr>
          <w:ilvl w:val="0"/>
          <w:numId w:val="12"/>
        </w:numPr>
        <w:spacing w:after="0"/>
      </w:pPr>
      <w:r>
        <w:t>Anaconda</w:t>
      </w:r>
    </w:p>
    <w:p w14:paraId="26920507" w14:textId="77777777" w:rsidR="00DE2D81" w:rsidRDefault="00DE2D81" w:rsidP="00DE2D81">
      <w:pPr>
        <w:pStyle w:val="ListParagraph"/>
        <w:numPr>
          <w:ilvl w:val="0"/>
          <w:numId w:val="12"/>
        </w:numPr>
        <w:spacing w:after="0"/>
      </w:pPr>
      <w:proofErr w:type="spellStart"/>
      <w:r>
        <w:t>Jupyter</w:t>
      </w:r>
      <w:proofErr w:type="spellEnd"/>
      <w:r>
        <w:t xml:space="preserve"> Notebook</w:t>
      </w:r>
    </w:p>
    <w:p w14:paraId="4AD7A6E6" w14:textId="77777777" w:rsidR="00DE2D81" w:rsidRDefault="00DE2D81" w:rsidP="00DE2D81">
      <w:pPr>
        <w:pStyle w:val="ListParagraph"/>
        <w:numPr>
          <w:ilvl w:val="0"/>
          <w:numId w:val="12"/>
        </w:numPr>
        <w:spacing w:after="0"/>
      </w:pPr>
      <w:r>
        <w:t>Python Programming Language and the following packages:</w:t>
      </w:r>
    </w:p>
    <w:p w14:paraId="4E2A98B9" w14:textId="258D7161" w:rsidR="00DE2D81" w:rsidRDefault="33B180F5" w:rsidP="00DE2D81">
      <w:pPr>
        <w:pStyle w:val="ListParagraph"/>
        <w:numPr>
          <w:ilvl w:val="1"/>
          <w:numId w:val="12"/>
        </w:numPr>
        <w:spacing w:after="0"/>
      </w:pPr>
      <w:proofErr w:type="spellStart"/>
      <w:r>
        <w:t>Numpy</w:t>
      </w:r>
      <w:proofErr w:type="spellEnd"/>
      <w:r>
        <w:t xml:space="preserve">, Pandas, </w:t>
      </w:r>
      <w:proofErr w:type="spellStart"/>
      <w:r>
        <w:t>Matplotlib</w:t>
      </w:r>
      <w:proofErr w:type="spellEnd"/>
      <w:r>
        <w:t xml:space="preserve">, </w:t>
      </w:r>
      <w:proofErr w:type="spellStart"/>
      <w:r>
        <w:t>Scipy</w:t>
      </w:r>
      <w:proofErr w:type="spellEnd"/>
      <w:r>
        <w:t xml:space="preserve">, </w:t>
      </w:r>
      <w:proofErr w:type="spellStart"/>
      <w:r>
        <w:t>Sklearn</w:t>
      </w:r>
      <w:proofErr w:type="spellEnd"/>
      <w:r>
        <w:t>, Orange</w:t>
      </w:r>
    </w:p>
    <w:p w14:paraId="34277741" w14:textId="20405E87" w:rsidR="00DE2D81" w:rsidRDefault="00DE2D81" w:rsidP="00DE2D81">
      <w:r>
        <w:br w:type="page"/>
      </w:r>
    </w:p>
    <w:p w14:paraId="02EB378F" w14:textId="268BCFC0" w:rsidR="005166DE" w:rsidRDefault="00DE2D81" w:rsidP="00DE2D81">
      <w:pPr>
        <w:pStyle w:val="Heading1"/>
      </w:pPr>
      <w:r>
        <w:lastRenderedPageBreak/>
        <w:t>Methods and models</w:t>
      </w:r>
    </w:p>
    <w:p w14:paraId="6A05A809" w14:textId="5F20DC5D" w:rsidR="005166DE" w:rsidRDefault="129F82AC" w:rsidP="00DF22CE">
      <w:pPr>
        <w:pStyle w:val="Heading2"/>
        <w:spacing w:before="0"/>
      </w:pPr>
      <w:r>
        <w:t xml:space="preserve">Classification of Repayment Risk </w:t>
      </w:r>
    </w:p>
    <w:p w14:paraId="4E417D35" w14:textId="0E97E5FE" w:rsidR="005166DE" w:rsidRDefault="129F82AC" w:rsidP="00FE49E7">
      <w:pPr>
        <w:spacing w:after="0"/>
      </w:pPr>
      <w:r>
        <w:t xml:space="preserve">The following data will be used to determine the risk of repayment for each institution. </w:t>
      </w:r>
    </w:p>
    <w:p w14:paraId="5A39BBE3" w14:textId="77777777" w:rsidR="005166DE" w:rsidRPr="005166DE" w:rsidRDefault="005166DE" w:rsidP="00FE49E7">
      <w:pPr>
        <w:spacing w:after="0"/>
      </w:pPr>
    </w:p>
    <w:p w14:paraId="2D04181C" w14:textId="3D06DD38" w:rsidR="005166DE" w:rsidRPr="005166DE" w:rsidRDefault="129F82AC" w:rsidP="5C78169C">
      <w:pPr>
        <w:pStyle w:val="ListParagraph"/>
        <w:numPr>
          <w:ilvl w:val="0"/>
          <w:numId w:val="8"/>
        </w:numPr>
        <w:spacing w:after="0"/>
      </w:pPr>
      <w:r>
        <w:t>Group 1: Overall Outstanding Principal Balance</w:t>
      </w:r>
    </w:p>
    <w:p w14:paraId="22CDA6C4" w14:textId="3EAEF623" w:rsidR="005166DE" w:rsidRPr="005166DE" w:rsidRDefault="129F82AC" w:rsidP="5C78169C">
      <w:pPr>
        <w:pStyle w:val="ListParagraph"/>
        <w:numPr>
          <w:ilvl w:val="0"/>
          <w:numId w:val="8"/>
        </w:numPr>
        <w:spacing w:after="0"/>
      </w:pPr>
      <w:r>
        <w:t>Group 2: Overall Repayment Rate</w:t>
      </w:r>
    </w:p>
    <w:p w14:paraId="6791338D" w14:textId="2E775434" w:rsidR="005166DE" w:rsidRPr="005166DE" w:rsidRDefault="129F82AC" w:rsidP="5C78169C">
      <w:pPr>
        <w:pStyle w:val="ListParagraph"/>
        <w:numPr>
          <w:ilvl w:val="0"/>
          <w:numId w:val="8"/>
        </w:numPr>
        <w:spacing w:after="0"/>
      </w:pPr>
      <w:r>
        <w:t>Group 3: % Increased Balance Borrowers</w:t>
      </w:r>
    </w:p>
    <w:p w14:paraId="7BE03E8F" w14:textId="4E5598B2" w:rsidR="005166DE" w:rsidRPr="005166DE" w:rsidRDefault="129F82AC" w:rsidP="5C78169C">
      <w:pPr>
        <w:pStyle w:val="ListParagraph"/>
        <w:numPr>
          <w:ilvl w:val="0"/>
          <w:numId w:val="8"/>
        </w:numPr>
        <w:spacing w:after="0"/>
      </w:pPr>
      <w:r>
        <w:t>Group 4: Defaulted Balance</w:t>
      </w:r>
    </w:p>
    <w:p w14:paraId="41307D9E" w14:textId="77777777" w:rsidR="00851EE1" w:rsidRDefault="00851EE1" w:rsidP="00FE49E7">
      <w:pPr>
        <w:spacing w:after="0"/>
        <w:rPr>
          <w:bCs/>
        </w:rPr>
      </w:pPr>
    </w:p>
    <w:p w14:paraId="41C8F396" w14:textId="7D2B0D0B" w:rsidR="005166DE" w:rsidRDefault="00851EE1" w:rsidP="00FE49E7">
      <w:pPr>
        <w:spacing w:after="0"/>
        <w:rPr>
          <w:bCs/>
        </w:rPr>
      </w:pPr>
      <w:r>
        <w:rPr>
          <w:bCs/>
        </w:rPr>
        <w:t>Group 1 consists of the following data items, and describes the outstanding principal balance of each school as of Se</w:t>
      </w:r>
      <w:r w:rsidR="00DC5F48">
        <w:rPr>
          <w:bCs/>
        </w:rPr>
        <w:t xml:space="preserve">ptember of the respective year. If an institution has a history of less risky lending habits, it is expected that these values should decrease over time. </w:t>
      </w:r>
    </w:p>
    <w:p w14:paraId="0DCA303F" w14:textId="20A9A79F" w:rsidR="00851EE1" w:rsidRDefault="00851EE1" w:rsidP="00FE49E7">
      <w:pPr>
        <w:spacing w:after="0"/>
        <w:rPr>
          <w:bCs/>
        </w:rPr>
      </w:pPr>
    </w:p>
    <w:p w14:paraId="39B94A30" w14:textId="77777777" w:rsidR="00851EE1" w:rsidRDefault="00851EE1" w:rsidP="00851EE1">
      <w:pPr>
        <w:numPr>
          <w:ilvl w:val="0"/>
          <w:numId w:val="13"/>
        </w:numPr>
        <w:spacing w:after="0"/>
        <w:rPr>
          <w:rFonts w:ascii="Calibri" w:hAnsi="Calibri"/>
          <w:sz w:val="22"/>
          <w:szCs w:val="22"/>
        </w:rPr>
      </w:pPr>
      <w:r>
        <w:t>Overall Outstanding Principal Balance 5 YR Cohort (FY 2014)            </w:t>
      </w:r>
    </w:p>
    <w:p w14:paraId="145FECFB" w14:textId="77777777" w:rsidR="00851EE1" w:rsidRDefault="00851EE1" w:rsidP="00851EE1">
      <w:pPr>
        <w:numPr>
          <w:ilvl w:val="0"/>
          <w:numId w:val="13"/>
        </w:numPr>
        <w:spacing w:after="0"/>
      </w:pPr>
      <w:r>
        <w:t>Overall Outstanding Principal Balance 4 YR Cohort (FY 2013)            </w:t>
      </w:r>
    </w:p>
    <w:p w14:paraId="3F130EFC" w14:textId="77777777" w:rsidR="00851EE1" w:rsidRDefault="00851EE1" w:rsidP="00851EE1">
      <w:pPr>
        <w:numPr>
          <w:ilvl w:val="0"/>
          <w:numId w:val="13"/>
        </w:numPr>
        <w:spacing w:after="0"/>
      </w:pPr>
      <w:r>
        <w:t>Overall Outstanding Principal Balance 3 YR Cohort (FY 2012)            </w:t>
      </w:r>
    </w:p>
    <w:p w14:paraId="59329D0E" w14:textId="77777777" w:rsidR="00851EE1" w:rsidRDefault="00851EE1" w:rsidP="00851EE1">
      <w:pPr>
        <w:numPr>
          <w:ilvl w:val="0"/>
          <w:numId w:val="13"/>
        </w:numPr>
        <w:spacing w:after="0"/>
      </w:pPr>
      <w:r>
        <w:t>Overall Outstanding Principal Balance 2 YR Cohort (FY 2011)            </w:t>
      </w:r>
    </w:p>
    <w:p w14:paraId="05C0152E" w14:textId="77777777" w:rsidR="00851EE1" w:rsidRDefault="00851EE1" w:rsidP="00851EE1">
      <w:pPr>
        <w:numPr>
          <w:ilvl w:val="0"/>
          <w:numId w:val="13"/>
        </w:numPr>
        <w:spacing w:after="0"/>
      </w:pPr>
      <w:r>
        <w:t xml:space="preserve">Overall Outstanding Principal Balance 1 YR Cohort (FY 2010) </w:t>
      </w:r>
    </w:p>
    <w:p w14:paraId="27904439" w14:textId="7CB52684" w:rsidR="00851EE1" w:rsidRDefault="00851EE1" w:rsidP="00FE49E7">
      <w:pPr>
        <w:spacing w:after="0"/>
        <w:rPr>
          <w:bCs/>
        </w:rPr>
      </w:pPr>
    </w:p>
    <w:p w14:paraId="514E1862" w14:textId="1E85E03E" w:rsidR="00851EE1" w:rsidRDefault="00851EE1" w:rsidP="00851EE1">
      <w:pPr>
        <w:spacing w:after="0"/>
        <w:rPr>
          <w:bCs/>
        </w:rPr>
      </w:pPr>
      <w:r>
        <w:rPr>
          <w:bCs/>
        </w:rPr>
        <w:t xml:space="preserve">Group 2 consists of the following data items, and describes the </w:t>
      </w:r>
      <w:r w:rsidR="00DC5F48">
        <w:rPr>
          <w:bCs/>
        </w:rPr>
        <w:t>s</w:t>
      </w:r>
      <w:r w:rsidRPr="00851EE1">
        <w:rPr>
          <w:bCs/>
        </w:rPr>
        <w:t>hare of aggregate balance entering repayment repaid by cohort</w:t>
      </w:r>
      <w:r>
        <w:rPr>
          <w:b/>
          <w:bCs/>
        </w:rPr>
        <w:t xml:space="preserve"> </w:t>
      </w:r>
      <w:r w:rsidR="00DC5F48">
        <w:rPr>
          <w:bCs/>
        </w:rPr>
        <w:t>of the respective year. If an institution has a history of less risky lending habits, it is expected that this value should increase over time.</w:t>
      </w:r>
    </w:p>
    <w:p w14:paraId="4AEF731A" w14:textId="77777777" w:rsidR="00851EE1" w:rsidRDefault="00851EE1" w:rsidP="00851EE1">
      <w:pPr>
        <w:spacing w:after="0"/>
        <w:rPr>
          <w:bCs/>
        </w:rPr>
      </w:pPr>
    </w:p>
    <w:p w14:paraId="40CAC1F0" w14:textId="77777777" w:rsidR="00851EE1" w:rsidRDefault="00851EE1" w:rsidP="00851EE1">
      <w:pPr>
        <w:numPr>
          <w:ilvl w:val="0"/>
          <w:numId w:val="14"/>
        </w:numPr>
        <w:spacing w:after="0"/>
        <w:rPr>
          <w:rFonts w:ascii="Calibri" w:hAnsi="Calibri"/>
          <w:sz w:val="22"/>
          <w:szCs w:val="22"/>
        </w:rPr>
      </w:pPr>
      <w:r>
        <w:t xml:space="preserve">Overall Repayment Rate 5 YR Cohort (FY 2014) </w:t>
      </w:r>
    </w:p>
    <w:p w14:paraId="3D7EDF1E" w14:textId="77777777" w:rsidR="00851EE1" w:rsidRDefault="00851EE1" w:rsidP="00851EE1">
      <w:pPr>
        <w:numPr>
          <w:ilvl w:val="0"/>
          <w:numId w:val="14"/>
        </w:numPr>
        <w:spacing w:after="0"/>
      </w:pPr>
      <w:r>
        <w:t>Overall Repayment Rate 4 YR Cohort (FY 2013)</w:t>
      </w:r>
    </w:p>
    <w:p w14:paraId="47424DF3" w14:textId="77777777" w:rsidR="00851EE1" w:rsidRDefault="00851EE1" w:rsidP="00851EE1">
      <w:pPr>
        <w:numPr>
          <w:ilvl w:val="0"/>
          <w:numId w:val="14"/>
        </w:numPr>
        <w:spacing w:after="0"/>
      </w:pPr>
      <w:r>
        <w:t>Overall Repayment Rate 3 YR Cohort (FY 2012)</w:t>
      </w:r>
    </w:p>
    <w:p w14:paraId="55B54B21" w14:textId="77777777" w:rsidR="00851EE1" w:rsidRDefault="00851EE1" w:rsidP="00851EE1">
      <w:pPr>
        <w:numPr>
          <w:ilvl w:val="0"/>
          <w:numId w:val="14"/>
        </w:numPr>
        <w:spacing w:after="0"/>
      </w:pPr>
      <w:r>
        <w:t>Overall Repayment Rate 2 YR Cohort (FY 2011)</w:t>
      </w:r>
    </w:p>
    <w:p w14:paraId="27100163" w14:textId="77777777" w:rsidR="00851EE1" w:rsidRDefault="00851EE1" w:rsidP="00851EE1">
      <w:pPr>
        <w:numPr>
          <w:ilvl w:val="0"/>
          <w:numId w:val="14"/>
        </w:numPr>
        <w:spacing w:after="0"/>
      </w:pPr>
      <w:r>
        <w:t>Overall Repayment Rate 1 YR Cohort (FY 2010)</w:t>
      </w:r>
    </w:p>
    <w:p w14:paraId="4545E289" w14:textId="7397A67C" w:rsidR="00851EE1" w:rsidRDefault="00851EE1" w:rsidP="00FE49E7">
      <w:pPr>
        <w:spacing w:after="0"/>
        <w:rPr>
          <w:bCs/>
        </w:rPr>
      </w:pPr>
    </w:p>
    <w:p w14:paraId="261AA979" w14:textId="734136BA" w:rsidR="00851EE1" w:rsidRDefault="00851EE1" w:rsidP="00851EE1">
      <w:pPr>
        <w:spacing w:after="0"/>
        <w:rPr>
          <w:bCs/>
        </w:rPr>
      </w:pPr>
      <w:r>
        <w:rPr>
          <w:bCs/>
        </w:rPr>
        <w:t>Group</w:t>
      </w:r>
      <w:r w:rsidR="00DC5F48">
        <w:rPr>
          <w:bCs/>
        </w:rPr>
        <w:t xml:space="preserve"> 3</w:t>
      </w:r>
      <w:r>
        <w:rPr>
          <w:bCs/>
        </w:rPr>
        <w:t xml:space="preserve"> consists of the following data items, and describes the </w:t>
      </w:r>
      <w:r w:rsidR="00DC5F48">
        <w:rPr>
          <w:bCs/>
        </w:rPr>
        <w:t>s</w:t>
      </w:r>
      <w:r w:rsidR="00DC5F48" w:rsidRPr="00DC5F48">
        <w:rPr>
          <w:bCs/>
        </w:rPr>
        <w:t>hare of borrowers whose current principal balance exceeds original principal balance</w:t>
      </w:r>
      <w:r w:rsidR="00DC5F48">
        <w:rPr>
          <w:bCs/>
        </w:rPr>
        <w:t>. If an institution has a history of less risky lending habits, it is expected that these values should decrease over time.</w:t>
      </w:r>
    </w:p>
    <w:p w14:paraId="37192253" w14:textId="0AA79E6B" w:rsidR="00DC5F48" w:rsidRDefault="00DC5F48" w:rsidP="00851EE1">
      <w:pPr>
        <w:spacing w:after="0"/>
        <w:rPr>
          <w:bCs/>
        </w:rPr>
      </w:pPr>
    </w:p>
    <w:p w14:paraId="71A3D13B" w14:textId="77777777" w:rsidR="00DC5F48" w:rsidRDefault="00DC5F48" w:rsidP="00DC5F48">
      <w:pPr>
        <w:numPr>
          <w:ilvl w:val="0"/>
          <w:numId w:val="15"/>
        </w:numPr>
        <w:spacing w:after="0"/>
        <w:rPr>
          <w:rFonts w:ascii="Calibri" w:hAnsi="Calibri"/>
          <w:sz w:val="22"/>
          <w:szCs w:val="22"/>
        </w:rPr>
      </w:pPr>
      <w:r>
        <w:t>% Increased Balance Borrowers 2013-2014</w:t>
      </w:r>
    </w:p>
    <w:p w14:paraId="349EBDD2" w14:textId="77777777" w:rsidR="00DC5F48" w:rsidRDefault="00DC5F48" w:rsidP="00DC5F48">
      <w:pPr>
        <w:numPr>
          <w:ilvl w:val="0"/>
          <w:numId w:val="15"/>
        </w:numPr>
        <w:spacing w:after="0"/>
      </w:pPr>
      <w:r>
        <w:t>% Increased Balance Borrowers 2012-2013</w:t>
      </w:r>
    </w:p>
    <w:p w14:paraId="48E4DEA8" w14:textId="77777777" w:rsidR="00DC5F48" w:rsidRDefault="00DC5F48" w:rsidP="00DC5F48">
      <w:pPr>
        <w:numPr>
          <w:ilvl w:val="0"/>
          <w:numId w:val="15"/>
        </w:numPr>
        <w:spacing w:after="0"/>
      </w:pPr>
      <w:r>
        <w:t xml:space="preserve">% Increased Balance Borrowers 2011-2012 </w:t>
      </w:r>
    </w:p>
    <w:p w14:paraId="0F3EA3CF" w14:textId="77777777" w:rsidR="00DC5F48" w:rsidRDefault="00DC5F48" w:rsidP="00DC5F48">
      <w:pPr>
        <w:numPr>
          <w:ilvl w:val="0"/>
          <w:numId w:val="15"/>
        </w:numPr>
        <w:spacing w:after="0"/>
      </w:pPr>
      <w:r>
        <w:t>% Increased Balance Borrowers 2010-2011</w:t>
      </w:r>
    </w:p>
    <w:p w14:paraId="711EE854" w14:textId="77777777" w:rsidR="00DC5F48" w:rsidRDefault="00DC5F48" w:rsidP="00DC5F48">
      <w:pPr>
        <w:numPr>
          <w:ilvl w:val="0"/>
          <w:numId w:val="15"/>
        </w:numPr>
        <w:spacing w:after="0"/>
      </w:pPr>
      <w:r>
        <w:t>% Increased Balance Borrowers 2009-2010</w:t>
      </w:r>
    </w:p>
    <w:p w14:paraId="5B7529FD" w14:textId="77777777" w:rsidR="00DC5F48" w:rsidRDefault="00DC5F48" w:rsidP="00851EE1">
      <w:pPr>
        <w:spacing w:after="0"/>
        <w:rPr>
          <w:bCs/>
        </w:rPr>
      </w:pPr>
    </w:p>
    <w:p w14:paraId="0373C183" w14:textId="03895434" w:rsidR="00DC5F48" w:rsidRDefault="00DC5F48" w:rsidP="00DC5F48">
      <w:pPr>
        <w:spacing w:after="0"/>
        <w:rPr>
          <w:bCs/>
        </w:rPr>
      </w:pPr>
      <w:r>
        <w:rPr>
          <w:bCs/>
        </w:rPr>
        <w:t>Group 4 consists of the following data items, and describes the</w:t>
      </w:r>
      <w:r w:rsidRPr="00DC5F48">
        <w:rPr>
          <w:bCs/>
        </w:rPr>
        <w:t xml:space="preserve"> </w:t>
      </w:r>
      <w:r>
        <w:rPr>
          <w:bCs/>
        </w:rPr>
        <w:t>b</w:t>
      </w:r>
      <w:r w:rsidRPr="00DC5F48">
        <w:rPr>
          <w:bCs/>
        </w:rPr>
        <w:t>alance of loans currently in default</w:t>
      </w:r>
      <w:r>
        <w:rPr>
          <w:bCs/>
        </w:rPr>
        <w:t>. If an institution has a history of less risky lending habits, it is expected that these values should decrease over time.</w:t>
      </w:r>
    </w:p>
    <w:p w14:paraId="1ED266CB" w14:textId="77777777" w:rsidR="00DC5F48" w:rsidRDefault="00DC5F48" w:rsidP="00DC5F48">
      <w:pPr>
        <w:spacing w:after="0"/>
        <w:rPr>
          <w:bCs/>
        </w:rPr>
      </w:pPr>
    </w:p>
    <w:p w14:paraId="05F917F3" w14:textId="77777777" w:rsidR="00DC5F48" w:rsidRDefault="00DC5F48" w:rsidP="00DC5F48">
      <w:pPr>
        <w:numPr>
          <w:ilvl w:val="0"/>
          <w:numId w:val="16"/>
        </w:numPr>
        <w:spacing w:after="0"/>
        <w:rPr>
          <w:rFonts w:ascii="Calibri" w:hAnsi="Calibri"/>
          <w:sz w:val="22"/>
          <w:szCs w:val="22"/>
        </w:rPr>
      </w:pPr>
      <w:r>
        <w:t xml:space="preserve">Defaulted Balance 2013-14 </w:t>
      </w:r>
    </w:p>
    <w:p w14:paraId="40187FDF" w14:textId="77777777" w:rsidR="00DC5F48" w:rsidRDefault="00DC5F48" w:rsidP="00DC5F48">
      <w:pPr>
        <w:numPr>
          <w:ilvl w:val="0"/>
          <w:numId w:val="16"/>
        </w:numPr>
        <w:spacing w:after="0"/>
      </w:pPr>
      <w:r>
        <w:lastRenderedPageBreak/>
        <w:t xml:space="preserve">Defaulted Balance 2012-13 </w:t>
      </w:r>
    </w:p>
    <w:p w14:paraId="06EE6981" w14:textId="77777777" w:rsidR="00DC5F48" w:rsidRDefault="00DC5F48" w:rsidP="00DC5F48">
      <w:pPr>
        <w:numPr>
          <w:ilvl w:val="0"/>
          <w:numId w:val="16"/>
        </w:numPr>
        <w:spacing w:after="0"/>
      </w:pPr>
      <w:r>
        <w:t xml:space="preserve">Defaulted Balance 2011-12 </w:t>
      </w:r>
    </w:p>
    <w:p w14:paraId="03522507" w14:textId="77777777" w:rsidR="00DC5F48" w:rsidRDefault="00DC5F48" w:rsidP="00DC5F48">
      <w:pPr>
        <w:numPr>
          <w:ilvl w:val="0"/>
          <w:numId w:val="16"/>
        </w:numPr>
        <w:spacing w:after="0"/>
      </w:pPr>
      <w:r>
        <w:t xml:space="preserve">Defaulted Balance 2010-11 </w:t>
      </w:r>
    </w:p>
    <w:p w14:paraId="016322A3" w14:textId="77777777" w:rsidR="00DC5F48" w:rsidRDefault="00DC5F48" w:rsidP="00DC5F48">
      <w:pPr>
        <w:numPr>
          <w:ilvl w:val="0"/>
          <w:numId w:val="16"/>
        </w:numPr>
        <w:spacing w:after="0"/>
      </w:pPr>
      <w:r>
        <w:t>Defaulted Balance 2009-10</w:t>
      </w:r>
    </w:p>
    <w:p w14:paraId="7B1ACFD4" w14:textId="77777777" w:rsidR="00DC5F48" w:rsidRDefault="00DC5F48" w:rsidP="00DC5F48">
      <w:pPr>
        <w:spacing w:after="0"/>
        <w:rPr>
          <w:bCs/>
        </w:rPr>
      </w:pPr>
    </w:p>
    <w:p w14:paraId="4C55C23F" w14:textId="510C6BC0" w:rsidR="003F3741" w:rsidRPr="005166DE" w:rsidRDefault="129F82AC" w:rsidP="00DF22CE">
      <w:r>
        <w:t>Linear regression analysis can be used to classify each school’s risk level. If we find the</w:t>
      </w:r>
      <w:r w:rsidR="00DC5F48">
        <w:t xml:space="preserve"> line of best fit for each group, where X is the year and Y is the value for the group’s school at the year</w:t>
      </w:r>
      <w:r>
        <w:t xml:space="preserve">, the slope of each line will determine potential risk according to Table 1. </w:t>
      </w:r>
    </w:p>
    <w:p w14:paraId="7109AE58" w14:textId="34A3F52E" w:rsidR="003F3741" w:rsidRDefault="129F82AC" w:rsidP="4DBAD3D6">
      <w:pPr>
        <w:jc w:val="center"/>
      </w:pPr>
      <w:r>
        <w:t xml:space="preserve">Table </w:t>
      </w:r>
      <w:r w:rsidRPr="129F82AC">
        <w:rPr>
          <w:noProof/>
        </w:rPr>
        <w:t>1</w:t>
      </w:r>
      <w:r>
        <w:t>: Slope Risk Assessment</w:t>
      </w:r>
    </w:p>
    <w:tbl>
      <w:tblPr>
        <w:tblStyle w:val="GridTable4-Accent1"/>
        <w:tblW w:w="9305" w:type="dxa"/>
        <w:jc w:val="center"/>
        <w:tblCellMar>
          <w:left w:w="0" w:type="dxa"/>
          <w:right w:w="0" w:type="dxa"/>
        </w:tblCellMar>
        <w:tblLook w:val="04A0" w:firstRow="1" w:lastRow="0" w:firstColumn="1" w:lastColumn="0" w:noHBand="0" w:noVBand="1"/>
      </w:tblPr>
      <w:tblGrid>
        <w:gridCol w:w="2355"/>
        <w:gridCol w:w="4470"/>
        <w:gridCol w:w="2480"/>
      </w:tblGrid>
      <w:tr w:rsidR="003F3741" w:rsidRPr="005166DE" w14:paraId="3CD3BD7A" w14:textId="77777777" w:rsidTr="5812CACB">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55" w:type="dxa"/>
            <w:noWrap/>
            <w:tcMar>
              <w:top w:w="0" w:type="dxa"/>
              <w:left w:w="108" w:type="dxa"/>
              <w:bottom w:w="0" w:type="dxa"/>
              <w:right w:w="108" w:type="dxa"/>
            </w:tcMar>
            <w:vAlign w:val="bottom"/>
            <w:hideMark/>
          </w:tcPr>
          <w:p w14:paraId="2FF0E155" w14:textId="77777777" w:rsidR="003F3741" w:rsidRPr="005166DE" w:rsidRDefault="5812CACB" w:rsidP="5812CACB">
            <w:pPr>
              <w:spacing w:after="0"/>
              <w:jc w:val="center"/>
            </w:pPr>
            <w:r w:rsidRPr="5812CACB">
              <w:t>ID</w:t>
            </w:r>
          </w:p>
        </w:tc>
        <w:tc>
          <w:tcPr>
            <w:tcW w:w="4470" w:type="dxa"/>
            <w:noWrap/>
            <w:tcMar>
              <w:top w:w="0" w:type="dxa"/>
              <w:left w:w="108" w:type="dxa"/>
              <w:bottom w:w="0" w:type="dxa"/>
              <w:right w:w="108" w:type="dxa"/>
            </w:tcMar>
            <w:vAlign w:val="bottom"/>
            <w:hideMark/>
          </w:tcPr>
          <w:p w14:paraId="4701469B" w14:textId="77777777" w:rsidR="003F3741" w:rsidRPr="005166DE" w:rsidRDefault="5812CACB" w:rsidP="5812CACB">
            <w:pPr>
              <w:spacing w:after="0"/>
              <w:jc w:val="center"/>
              <w:cnfStyle w:val="100000000000" w:firstRow="1" w:lastRow="0" w:firstColumn="0" w:lastColumn="0" w:oddVBand="0" w:evenVBand="0" w:oddHBand="0" w:evenHBand="0" w:firstRowFirstColumn="0" w:firstRowLastColumn="0" w:lastRowFirstColumn="0" w:lastRowLastColumn="0"/>
              <w:rPr>
                <w:b w:val="0"/>
                <w:bCs w:val="0"/>
              </w:rPr>
            </w:pPr>
            <w:r w:rsidRPr="5812CACB">
              <w:t>Risky</w:t>
            </w:r>
          </w:p>
        </w:tc>
        <w:tc>
          <w:tcPr>
            <w:tcW w:w="2480" w:type="dxa"/>
            <w:noWrap/>
            <w:tcMar>
              <w:top w:w="0" w:type="dxa"/>
              <w:left w:w="108" w:type="dxa"/>
              <w:bottom w:w="0" w:type="dxa"/>
              <w:right w:w="108" w:type="dxa"/>
            </w:tcMar>
            <w:vAlign w:val="bottom"/>
            <w:hideMark/>
          </w:tcPr>
          <w:p w14:paraId="16FE8227" w14:textId="77777777" w:rsidR="003F3741" w:rsidRPr="005166DE" w:rsidRDefault="5812CACB" w:rsidP="5812CACB">
            <w:pPr>
              <w:spacing w:after="0"/>
              <w:jc w:val="center"/>
              <w:cnfStyle w:val="100000000000" w:firstRow="1" w:lastRow="0" w:firstColumn="0" w:lastColumn="0" w:oddVBand="0" w:evenVBand="0" w:oddHBand="0" w:evenHBand="0" w:firstRowFirstColumn="0" w:firstRowLastColumn="0" w:lastRowFirstColumn="0" w:lastRowLastColumn="0"/>
              <w:rPr>
                <w:b w:val="0"/>
                <w:bCs w:val="0"/>
              </w:rPr>
            </w:pPr>
            <w:r w:rsidRPr="5812CACB">
              <w:t>Not Risky</w:t>
            </w:r>
          </w:p>
        </w:tc>
      </w:tr>
      <w:tr w:rsidR="003F3741" w:rsidRPr="005166DE" w14:paraId="2A625A30" w14:textId="77777777" w:rsidTr="5812CAC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55" w:type="dxa"/>
            <w:noWrap/>
            <w:tcMar>
              <w:top w:w="0" w:type="dxa"/>
              <w:left w:w="108" w:type="dxa"/>
              <w:bottom w:w="0" w:type="dxa"/>
              <w:right w:w="108" w:type="dxa"/>
            </w:tcMar>
            <w:vAlign w:val="bottom"/>
            <w:hideMark/>
          </w:tcPr>
          <w:p w14:paraId="2218CAB6" w14:textId="77777777" w:rsidR="003F3741" w:rsidRPr="005166DE" w:rsidRDefault="5812CACB" w:rsidP="5812CACB">
            <w:pPr>
              <w:spacing w:after="0"/>
              <w:jc w:val="center"/>
              <w:rPr>
                <w:b w:val="0"/>
                <w:bCs w:val="0"/>
                <w:color w:val="000000" w:themeColor="text1"/>
              </w:rPr>
            </w:pPr>
            <w:r w:rsidRPr="5812CACB">
              <w:rPr>
                <w:b w:val="0"/>
                <w:bCs w:val="0"/>
                <w:color w:val="000000" w:themeColor="text1"/>
              </w:rPr>
              <w:t>Group 1</w:t>
            </w:r>
          </w:p>
        </w:tc>
        <w:tc>
          <w:tcPr>
            <w:tcW w:w="4470" w:type="dxa"/>
            <w:noWrap/>
            <w:tcMar>
              <w:top w:w="0" w:type="dxa"/>
              <w:left w:w="108" w:type="dxa"/>
              <w:bottom w:w="0" w:type="dxa"/>
              <w:right w:w="108" w:type="dxa"/>
            </w:tcMar>
            <w:vAlign w:val="bottom"/>
            <w:hideMark/>
          </w:tcPr>
          <w:p w14:paraId="2C257658" w14:textId="19A9521F" w:rsidR="003F3741" w:rsidRPr="005166DE" w:rsidRDefault="5812CACB" w:rsidP="5812CACB">
            <w:pPr>
              <w:spacing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5812CACB">
              <w:rPr>
                <w:color w:val="000000" w:themeColor="text1"/>
              </w:rPr>
              <w:t>Positive Slope</w:t>
            </w:r>
          </w:p>
        </w:tc>
        <w:tc>
          <w:tcPr>
            <w:tcW w:w="2480" w:type="dxa"/>
            <w:noWrap/>
            <w:tcMar>
              <w:top w:w="0" w:type="dxa"/>
              <w:left w:w="108" w:type="dxa"/>
              <w:bottom w:w="0" w:type="dxa"/>
              <w:right w:w="108" w:type="dxa"/>
            </w:tcMar>
            <w:vAlign w:val="bottom"/>
            <w:hideMark/>
          </w:tcPr>
          <w:p w14:paraId="3439D9B9" w14:textId="613B2EE7" w:rsidR="003F3741" w:rsidRPr="005166DE" w:rsidRDefault="5812CACB" w:rsidP="5812CACB">
            <w:pPr>
              <w:spacing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5812CACB">
              <w:rPr>
                <w:color w:val="000000" w:themeColor="text1"/>
              </w:rPr>
              <w:t>Negative Slope</w:t>
            </w:r>
          </w:p>
        </w:tc>
      </w:tr>
      <w:tr w:rsidR="003F3741" w:rsidRPr="005166DE" w14:paraId="2FCC714F" w14:textId="77777777" w:rsidTr="5812CACB">
        <w:trPr>
          <w:trHeight w:val="285"/>
          <w:jc w:val="center"/>
        </w:trPr>
        <w:tc>
          <w:tcPr>
            <w:cnfStyle w:val="001000000000" w:firstRow="0" w:lastRow="0" w:firstColumn="1" w:lastColumn="0" w:oddVBand="0" w:evenVBand="0" w:oddHBand="0" w:evenHBand="0" w:firstRowFirstColumn="0" w:firstRowLastColumn="0" w:lastRowFirstColumn="0" w:lastRowLastColumn="0"/>
            <w:tcW w:w="2355" w:type="dxa"/>
            <w:noWrap/>
            <w:tcMar>
              <w:top w:w="0" w:type="dxa"/>
              <w:left w:w="108" w:type="dxa"/>
              <w:bottom w:w="0" w:type="dxa"/>
              <w:right w:w="108" w:type="dxa"/>
            </w:tcMar>
            <w:vAlign w:val="bottom"/>
            <w:hideMark/>
          </w:tcPr>
          <w:p w14:paraId="1A2A9DF6" w14:textId="77777777" w:rsidR="003F3741" w:rsidRPr="005166DE" w:rsidRDefault="5812CACB" w:rsidP="5812CACB">
            <w:pPr>
              <w:spacing w:after="0"/>
              <w:jc w:val="center"/>
              <w:rPr>
                <w:b w:val="0"/>
                <w:bCs w:val="0"/>
                <w:color w:val="000000" w:themeColor="text1"/>
              </w:rPr>
            </w:pPr>
            <w:r w:rsidRPr="5812CACB">
              <w:rPr>
                <w:b w:val="0"/>
                <w:bCs w:val="0"/>
                <w:color w:val="000000" w:themeColor="text1"/>
              </w:rPr>
              <w:t>Group 2</w:t>
            </w:r>
          </w:p>
        </w:tc>
        <w:tc>
          <w:tcPr>
            <w:tcW w:w="4470" w:type="dxa"/>
            <w:noWrap/>
            <w:tcMar>
              <w:top w:w="0" w:type="dxa"/>
              <w:left w:w="108" w:type="dxa"/>
              <w:bottom w:w="0" w:type="dxa"/>
              <w:right w:w="108" w:type="dxa"/>
            </w:tcMar>
            <w:vAlign w:val="bottom"/>
            <w:hideMark/>
          </w:tcPr>
          <w:p w14:paraId="6FFA9485" w14:textId="4ADE9970" w:rsidR="003F3741" w:rsidRPr="005166DE" w:rsidRDefault="5812CACB" w:rsidP="5812CACB">
            <w:pPr>
              <w:spacing w:after="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5812CACB">
              <w:rPr>
                <w:color w:val="000000" w:themeColor="text1"/>
              </w:rPr>
              <w:t>Negative Slope</w:t>
            </w:r>
          </w:p>
        </w:tc>
        <w:tc>
          <w:tcPr>
            <w:tcW w:w="2480" w:type="dxa"/>
            <w:noWrap/>
            <w:tcMar>
              <w:top w:w="0" w:type="dxa"/>
              <w:left w:w="108" w:type="dxa"/>
              <w:bottom w:w="0" w:type="dxa"/>
              <w:right w:w="108" w:type="dxa"/>
            </w:tcMar>
            <w:vAlign w:val="bottom"/>
            <w:hideMark/>
          </w:tcPr>
          <w:p w14:paraId="7B20AE52" w14:textId="658FCE55" w:rsidR="003F3741" w:rsidRPr="005166DE" w:rsidRDefault="5812CACB" w:rsidP="5812CACB">
            <w:pPr>
              <w:spacing w:after="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5812CACB">
              <w:rPr>
                <w:color w:val="000000" w:themeColor="text1"/>
              </w:rPr>
              <w:t>Positive Slope</w:t>
            </w:r>
          </w:p>
        </w:tc>
      </w:tr>
      <w:tr w:rsidR="003F3741" w:rsidRPr="005166DE" w14:paraId="2CAF6AF2" w14:textId="77777777" w:rsidTr="5812CAC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55" w:type="dxa"/>
            <w:noWrap/>
            <w:tcMar>
              <w:top w:w="0" w:type="dxa"/>
              <w:left w:w="108" w:type="dxa"/>
              <w:bottom w:w="0" w:type="dxa"/>
              <w:right w:w="108" w:type="dxa"/>
            </w:tcMar>
            <w:vAlign w:val="bottom"/>
            <w:hideMark/>
          </w:tcPr>
          <w:p w14:paraId="51239E5E" w14:textId="77777777" w:rsidR="003F3741" w:rsidRPr="005166DE" w:rsidRDefault="5812CACB" w:rsidP="5812CACB">
            <w:pPr>
              <w:spacing w:after="0"/>
              <w:jc w:val="center"/>
              <w:rPr>
                <w:b w:val="0"/>
                <w:bCs w:val="0"/>
                <w:color w:val="000000" w:themeColor="text1"/>
              </w:rPr>
            </w:pPr>
            <w:r w:rsidRPr="5812CACB">
              <w:rPr>
                <w:b w:val="0"/>
                <w:bCs w:val="0"/>
                <w:color w:val="000000" w:themeColor="text1"/>
              </w:rPr>
              <w:t>Group 3</w:t>
            </w:r>
          </w:p>
        </w:tc>
        <w:tc>
          <w:tcPr>
            <w:tcW w:w="4470" w:type="dxa"/>
            <w:noWrap/>
            <w:tcMar>
              <w:top w:w="0" w:type="dxa"/>
              <w:left w:w="108" w:type="dxa"/>
              <w:bottom w:w="0" w:type="dxa"/>
              <w:right w:w="108" w:type="dxa"/>
            </w:tcMar>
            <w:vAlign w:val="bottom"/>
            <w:hideMark/>
          </w:tcPr>
          <w:p w14:paraId="5E7F5E9A" w14:textId="24526932" w:rsidR="003F3741" w:rsidRPr="005166DE" w:rsidRDefault="5812CACB" w:rsidP="5812CACB">
            <w:pPr>
              <w:spacing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5812CACB">
              <w:rPr>
                <w:color w:val="000000" w:themeColor="text1"/>
              </w:rPr>
              <w:t>Positive Slope</w:t>
            </w:r>
          </w:p>
        </w:tc>
        <w:tc>
          <w:tcPr>
            <w:tcW w:w="2480" w:type="dxa"/>
            <w:noWrap/>
            <w:tcMar>
              <w:top w:w="0" w:type="dxa"/>
              <w:left w:w="108" w:type="dxa"/>
              <w:bottom w:w="0" w:type="dxa"/>
              <w:right w:w="108" w:type="dxa"/>
            </w:tcMar>
            <w:vAlign w:val="bottom"/>
            <w:hideMark/>
          </w:tcPr>
          <w:p w14:paraId="575D2DB5" w14:textId="5B4C19CA" w:rsidR="003F3741" w:rsidRPr="005166DE" w:rsidRDefault="5812CACB" w:rsidP="5812CACB">
            <w:pPr>
              <w:spacing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5812CACB">
              <w:rPr>
                <w:color w:val="000000" w:themeColor="text1"/>
              </w:rPr>
              <w:t>Negative Slope</w:t>
            </w:r>
          </w:p>
        </w:tc>
      </w:tr>
      <w:tr w:rsidR="003F3741" w:rsidRPr="005166DE" w14:paraId="6EE34FCA" w14:textId="77777777" w:rsidTr="5812CACB">
        <w:trPr>
          <w:trHeight w:val="285"/>
          <w:jc w:val="center"/>
        </w:trPr>
        <w:tc>
          <w:tcPr>
            <w:cnfStyle w:val="001000000000" w:firstRow="0" w:lastRow="0" w:firstColumn="1" w:lastColumn="0" w:oddVBand="0" w:evenVBand="0" w:oddHBand="0" w:evenHBand="0" w:firstRowFirstColumn="0" w:firstRowLastColumn="0" w:lastRowFirstColumn="0" w:lastRowLastColumn="0"/>
            <w:tcW w:w="2355" w:type="dxa"/>
            <w:noWrap/>
            <w:tcMar>
              <w:top w:w="0" w:type="dxa"/>
              <w:left w:w="108" w:type="dxa"/>
              <w:bottom w:w="0" w:type="dxa"/>
              <w:right w:w="108" w:type="dxa"/>
            </w:tcMar>
            <w:vAlign w:val="bottom"/>
            <w:hideMark/>
          </w:tcPr>
          <w:p w14:paraId="60A698DC" w14:textId="77777777" w:rsidR="003F3741" w:rsidRPr="005166DE" w:rsidRDefault="5812CACB" w:rsidP="5812CACB">
            <w:pPr>
              <w:spacing w:after="0"/>
              <w:jc w:val="center"/>
              <w:rPr>
                <w:b w:val="0"/>
                <w:bCs w:val="0"/>
                <w:color w:val="000000" w:themeColor="text1"/>
              </w:rPr>
            </w:pPr>
            <w:r w:rsidRPr="5812CACB">
              <w:rPr>
                <w:b w:val="0"/>
                <w:bCs w:val="0"/>
                <w:color w:val="000000" w:themeColor="text1"/>
              </w:rPr>
              <w:t>Group 4</w:t>
            </w:r>
          </w:p>
        </w:tc>
        <w:tc>
          <w:tcPr>
            <w:tcW w:w="4470" w:type="dxa"/>
            <w:noWrap/>
            <w:tcMar>
              <w:top w:w="0" w:type="dxa"/>
              <w:left w:w="108" w:type="dxa"/>
              <w:bottom w:w="0" w:type="dxa"/>
              <w:right w:w="108" w:type="dxa"/>
            </w:tcMar>
            <w:vAlign w:val="bottom"/>
            <w:hideMark/>
          </w:tcPr>
          <w:p w14:paraId="72430CAE" w14:textId="27A3B917" w:rsidR="003F3741" w:rsidRPr="005166DE" w:rsidRDefault="5812CACB" w:rsidP="5812CACB">
            <w:pPr>
              <w:spacing w:after="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5812CACB">
              <w:rPr>
                <w:color w:val="000000" w:themeColor="text1"/>
              </w:rPr>
              <w:t>Positive Slope</w:t>
            </w:r>
          </w:p>
        </w:tc>
        <w:tc>
          <w:tcPr>
            <w:tcW w:w="2480" w:type="dxa"/>
            <w:noWrap/>
            <w:tcMar>
              <w:top w:w="0" w:type="dxa"/>
              <w:left w:w="108" w:type="dxa"/>
              <w:bottom w:w="0" w:type="dxa"/>
              <w:right w:w="108" w:type="dxa"/>
            </w:tcMar>
            <w:vAlign w:val="bottom"/>
            <w:hideMark/>
          </w:tcPr>
          <w:p w14:paraId="114A6A79" w14:textId="66DE65BC" w:rsidR="003F3741" w:rsidRPr="005166DE" w:rsidRDefault="5812CACB" w:rsidP="5812CACB">
            <w:pPr>
              <w:spacing w:after="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5812CACB">
              <w:rPr>
                <w:color w:val="000000" w:themeColor="text1"/>
              </w:rPr>
              <w:t>Negative Slope</w:t>
            </w:r>
          </w:p>
        </w:tc>
      </w:tr>
    </w:tbl>
    <w:p w14:paraId="0A301F9B" w14:textId="77777777" w:rsidR="003F3741" w:rsidRDefault="00DF22CE" w:rsidP="4DBAD3D6">
      <w:pPr>
        <w:pStyle w:val="Caption"/>
        <w:keepNext/>
        <w:jc w:val="left"/>
      </w:pPr>
      <w:r>
        <w:t xml:space="preserve"> </w:t>
      </w:r>
    </w:p>
    <w:p w14:paraId="0F0EAB53" w14:textId="47597BF1" w:rsidR="00DF22CE" w:rsidRDefault="40AF743B" w:rsidP="4DBAD3D6">
      <w:pPr>
        <w:pStyle w:val="Caption"/>
        <w:keepNext/>
        <w:jc w:val="left"/>
      </w:pPr>
      <w:r>
        <w:t xml:space="preserve">From here, schools can be classified </w:t>
      </w:r>
      <w:r w:rsidR="00D66F73">
        <w:t xml:space="preserve">as </w:t>
      </w:r>
      <w:r>
        <w:t>risky or not risky. Empirical analysis will be used to determine the best method of classification</w:t>
      </w:r>
      <w:r w:rsidR="00D66F73">
        <w:t>, as well as the different levels of risk that will be used for final classification</w:t>
      </w:r>
      <w:r>
        <w:t xml:space="preserve">. </w:t>
      </w:r>
    </w:p>
    <w:p w14:paraId="2D0E0464" w14:textId="234E5388" w:rsidR="00DF22CE" w:rsidRDefault="00DF22CE" w:rsidP="129F82AC">
      <w:pPr>
        <w:spacing w:after="0"/>
      </w:pPr>
    </w:p>
    <w:p w14:paraId="218A78C6" w14:textId="3D21D59D" w:rsidR="5C78169C" w:rsidRDefault="129F82AC" w:rsidP="00DF22CE">
      <w:pPr>
        <w:pStyle w:val="Heading2"/>
        <w:spacing w:before="0"/>
      </w:pPr>
      <w:r>
        <w:t>Predictive</w:t>
      </w:r>
      <w:r w:rsidR="00316960">
        <w:t xml:space="preserve"> Reasoning</w:t>
      </w:r>
      <w:r>
        <w:t xml:space="preserve"> Capability Measurement</w:t>
      </w:r>
    </w:p>
    <w:p w14:paraId="36E030BA" w14:textId="7B80EF5D" w:rsidR="005166DE" w:rsidRDefault="40AF743B" w:rsidP="00FE49E7">
      <w:pPr>
        <w:spacing w:after="0"/>
      </w:pPr>
      <w:r>
        <w:t>After the schools have been classified, the predictive</w:t>
      </w:r>
      <w:r w:rsidR="00316960">
        <w:t xml:space="preserve"> reasoning</w:t>
      </w:r>
      <w:r>
        <w:t xml:space="preserve"> capability of the attributes will need to be measured.  Possibility of</w:t>
      </w:r>
      <w:r w:rsidR="00316960">
        <w:t xml:space="preserve"> deriving the cause of a</w:t>
      </w:r>
      <w:r>
        <w:t xml:space="preserve"> prediction will be determined by correlating each attribute of the data with risk classification. If a positive or negative correlation exists between the attribute and risk classification, then the data can be used to </w:t>
      </w:r>
      <w:r w:rsidR="00316960">
        <w:t xml:space="preserve">reason the </w:t>
      </w:r>
      <w:r>
        <w:t>predict</w:t>
      </w:r>
      <w:r w:rsidR="00316960">
        <w:t>ion</w:t>
      </w:r>
      <w:r>
        <w:t xml:space="preserve"> a student's probability of repaying a loan given certain circumstances</w:t>
      </w:r>
      <w:r w:rsidR="00316960">
        <w:t xml:space="preserve"> – for this dataset, </w:t>
      </w:r>
      <w:proofErr w:type="gramStart"/>
      <w:r w:rsidR="00316960">
        <w:t>the circumstances are defined by the attributes of the school</w:t>
      </w:r>
      <w:proofErr w:type="gramEnd"/>
      <w:r>
        <w:t>.</w:t>
      </w:r>
    </w:p>
    <w:p w14:paraId="0B248A9F" w14:textId="7835DE8E" w:rsidR="40AF743B" w:rsidRDefault="40AF743B" w:rsidP="40AF743B">
      <w:pPr>
        <w:spacing w:after="0"/>
      </w:pPr>
    </w:p>
    <w:p w14:paraId="53128261" w14:textId="77777777" w:rsidR="005166DE" w:rsidRPr="005166DE" w:rsidRDefault="005166DE" w:rsidP="00FE49E7">
      <w:pPr>
        <w:spacing w:after="0"/>
      </w:pPr>
    </w:p>
    <w:p w14:paraId="62486C05" w14:textId="712676ED" w:rsidR="005166DE" w:rsidRDefault="129F82AC" w:rsidP="00DF22CE">
      <w:pPr>
        <w:pStyle w:val="Heading2"/>
        <w:spacing w:before="0"/>
      </w:pPr>
      <w:r>
        <w:t>Predictive Model Creation</w:t>
      </w:r>
    </w:p>
    <w:p w14:paraId="588B2731" w14:textId="543F8B6B" w:rsidR="005166DE" w:rsidRDefault="00777D76" w:rsidP="00FE49E7">
      <w:pPr>
        <w:spacing w:after="0"/>
      </w:pPr>
      <w:r>
        <w:t xml:space="preserve">Finally, </w:t>
      </w:r>
      <w:r w:rsidR="129F82AC">
        <w:t>a predictive model can be created to predict a student's probability of repaying a loan given</w:t>
      </w:r>
      <w:r>
        <w:t xml:space="preserve"> the attendance of a post-secondary school</w:t>
      </w:r>
      <w:r w:rsidR="129F82AC">
        <w:t>. This predictive model will exercise supervised learning, and will be done using a Decision Tree Classifier.</w:t>
      </w:r>
    </w:p>
    <w:bookmarkEnd w:id="0"/>
    <w:bookmarkEnd w:id="1"/>
    <w:bookmarkEnd w:id="2"/>
    <w:bookmarkEnd w:id="3"/>
    <w:bookmarkEnd w:id="4"/>
    <w:p w14:paraId="30447E98" w14:textId="38D953F3" w:rsidR="5E57C30C" w:rsidRDefault="5E57C30C" w:rsidP="40AF743B">
      <w:pPr>
        <w:pStyle w:val="ListParagraph"/>
        <w:spacing w:after="0"/>
        <w:ind w:left="0"/>
      </w:pPr>
    </w:p>
    <w:p w14:paraId="3461D779" w14:textId="2CA720BA" w:rsidR="00FE49E7" w:rsidRDefault="00DE2D81" w:rsidP="00DE2D81">
      <w:pPr>
        <w:pStyle w:val="Heading1"/>
      </w:pPr>
      <w:r>
        <w:t>Results and discussion</w:t>
      </w:r>
    </w:p>
    <w:p w14:paraId="229F5BA9" w14:textId="440269E2" w:rsidR="00DE2D81" w:rsidRDefault="00DC5F48" w:rsidP="00DE2D81">
      <w:r>
        <w:t xml:space="preserve">The following sections detail the results of </w:t>
      </w:r>
      <w:proofErr w:type="gramStart"/>
      <w:r>
        <w:t>the each</w:t>
      </w:r>
      <w:proofErr w:type="gramEnd"/>
      <w:r>
        <w:t xml:space="preserve"> task defined in the Methods section. </w:t>
      </w:r>
    </w:p>
    <w:p w14:paraId="6F55871C" w14:textId="7670AC40" w:rsidR="00DC5F48" w:rsidRDefault="00DC5F48" w:rsidP="00DC5F48">
      <w:pPr>
        <w:pStyle w:val="Heading2"/>
        <w:spacing w:before="0"/>
      </w:pPr>
      <w:r>
        <w:lastRenderedPageBreak/>
        <w:t xml:space="preserve">Classification of Repayment Risk </w:t>
      </w:r>
    </w:p>
    <w:p w14:paraId="4E4CD998" w14:textId="77777777" w:rsidR="00FB06E0" w:rsidRDefault="00FB06E0" w:rsidP="00FB06E0">
      <w:pPr>
        <w:pStyle w:val="Heading3"/>
      </w:pPr>
      <w:r>
        <w:t>Data Preprocessing</w:t>
      </w:r>
    </w:p>
    <w:p w14:paraId="5F0BA143" w14:textId="6C4DA913" w:rsidR="00FB06E0" w:rsidRDefault="00FB06E0" w:rsidP="00FB06E0">
      <w:r>
        <w:t xml:space="preserve">Before classification could be performed, the data set had to be cleaned. All values the were declared above or below the required threshold values of the attribute were set to 0 or 1, respectively. </w:t>
      </w:r>
    </w:p>
    <w:p w14:paraId="537BDCF2" w14:textId="788A75AB" w:rsidR="00FB06E0" w:rsidRDefault="00FB06E0" w:rsidP="00FB06E0">
      <w:r>
        <w:t xml:space="preserve">Additionally, Group 1 (Overall Outstanding Principal Balance) and Group 4 (Defaulted Balance) were averaged to reduce the bias in the disparity in the borrow population size for each university. </w:t>
      </w:r>
    </w:p>
    <w:p w14:paraId="6538D3B4" w14:textId="43607125" w:rsidR="00FB06E0" w:rsidRDefault="00FB06E0" w:rsidP="00FB06E0">
      <w:pPr>
        <w:pStyle w:val="Heading3"/>
      </w:pPr>
      <w:r>
        <w:t>Borrower Risk Point Assignment</w:t>
      </w:r>
      <w:r w:rsidR="00013B62">
        <w:t xml:space="preserve"> Calculation</w:t>
      </w:r>
    </w:p>
    <w:p w14:paraId="53982640" w14:textId="08966A29" w:rsidR="00FB06E0" w:rsidRDefault="00FB06E0" w:rsidP="00FB06E0">
      <w:r>
        <w:t xml:space="preserve">The slope for each Group over time was then calculated in Excel. The quartiles for each Group are in the following tables. </w:t>
      </w:r>
    </w:p>
    <w:p w14:paraId="64E1C921" w14:textId="14410109" w:rsidR="00FB06E0" w:rsidRDefault="00FB06E0" w:rsidP="00FB06E0">
      <w:pPr>
        <w:pStyle w:val="Caption"/>
        <w:keepNext/>
      </w:pPr>
      <w:r>
        <w:t xml:space="preserve">Table </w:t>
      </w:r>
      <w:fldSimple w:instr=" SEQ Table \* ARABIC ">
        <w:r w:rsidR="00E43020">
          <w:rPr>
            <w:noProof/>
          </w:rPr>
          <w:t>1</w:t>
        </w:r>
      </w:fldSimple>
      <w:r>
        <w:t>: Average Outstanding Principal Balance Slope Quartiles</w:t>
      </w:r>
      <w:r w:rsidR="003B7C6A">
        <w:t xml:space="preserve"> (Group 1)</w:t>
      </w:r>
    </w:p>
    <w:tbl>
      <w:tblPr>
        <w:tblStyle w:val="GridTable4-Accent1"/>
        <w:tblW w:w="5000" w:type="pct"/>
        <w:jc w:val="center"/>
        <w:tblLook w:val="04A0" w:firstRow="1" w:lastRow="0" w:firstColumn="1" w:lastColumn="0" w:noHBand="0" w:noVBand="1"/>
      </w:tblPr>
      <w:tblGrid>
        <w:gridCol w:w="3116"/>
        <w:gridCol w:w="3117"/>
        <w:gridCol w:w="3117"/>
      </w:tblGrid>
      <w:tr w:rsidR="00FB06E0" w:rsidRPr="00FB06E0" w14:paraId="3FDF168D" w14:textId="77777777" w:rsidTr="003B7C6A">
        <w:trPr>
          <w:cnfStyle w:val="100000000000" w:firstRow="1" w:lastRow="0" w:firstColumn="0" w:lastColumn="0" w:oddVBand="0" w:evenVBand="0" w:oddHBand="0"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666" w:type="pct"/>
            <w:noWrap/>
            <w:hideMark/>
          </w:tcPr>
          <w:p w14:paraId="79A12087" w14:textId="77777777" w:rsidR="00FB06E0" w:rsidRPr="00FB06E0" w:rsidRDefault="00FB06E0" w:rsidP="00FB06E0">
            <w:pPr>
              <w:spacing w:after="0"/>
              <w:jc w:val="center"/>
              <w:rPr>
                <w:rFonts w:ascii="Calibri" w:hAnsi="Calibri" w:cs="Calibri"/>
                <w:sz w:val="22"/>
                <w:szCs w:val="22"/>
              </w:rPr>
            </w:pPr>
            <w:r w:rsidRPr="00FB06E0">
              <w:rPr>
                <w:rFonts w:ascii="Calibri" w:hAnsi="Calibri" w:cs="Calibri"/>
                <w:sz w:val="22"/>
                <w:szCs w:val="22"/>
              </w:rPr>
              <w:t>Quartile</w:t>
            </w:r>
          </w:p>
        </w:tc>
        <w:tc>
          <w:tcPr>
            <w:tcW w:w="1667" w:type="pct"/>
            <w:noWrap/>
            <w:hideMark/>
          </w:tcPr>
          <w:p w14:paraId="3569D6E7" w14:textId="24061F85" w:rsidR="00FB06E0" w:rsidRPr="00FB06E0" w:rsidRDefault="00013B62" w:rsidP="00FB06E0">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Slope</w:t>
            </w:r>
          </w:p>
        </w:tc>
        <w:tc>
          <w:tcPr>
            <w:tcW w:w="1667" w:type="pct"/>
            <w:hideMark/>
          </w:tcPr>
          <w:p w14:paraId="38661923" w14:textId="77777777" w:rsidR="00FB06E0" w:rsidRPr="00FB06E0" w:rsidRDefault="00FB06E0" w:rsidP="00FB06E0">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FB06E0">
              <w:rPr>
                <w:rFonts w:ascii="Calibri" w:hAnsi="Calibri" w:cs="Calibri"/>
                <w:sz w:val="22"/>
                <w:szCs w:val="22"/>
              </w:rPr>
              <w:t>Note</w:t>
            </w:r>
          </w:p>
        </w:tc>
      </w:tr>
      <w:tr w:rsidR="00FB06E0" w:rsidRPr="00FB06E0" w14:paraId="66C01B16" w14:textId="77777777" w:rsidTr="003B7C6A">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6C70F9F5" w14:textId="77777777" w:rsidR="00FB06E0" w:rsidRPr="00FB06E0" w:rsidRDefault="00FB06E0" w:rsidP="00FB06E0">
            <w:pPr>
              <w:spacing w:after="0"/>
              <w:jc w:val="center"/>
              <w:rPr>
                <w:rFonts w:ascii="Calibri" w:hAnsi="Calibri" w:cs="Calibri"/>
                <w:b w:val="0"/>
                <w:color w:val="000000"/>
                <w:sz w:val="22"/>
                <w:szCs w:val="22"/>
              </w:rPr>
            </w:pPr>
            <w:r w:rsidRPr="00FB06E0">
              <w:rPr>
                <w:rFonts w:ascii="Calibri" w:hAnsi="Calibri" w:cs="Calibri"/>
                <w:b w:val="0"/>
                <w:color w:val="000000"/>
                <w:sz w:val="22"/>
                <w:szCs w:val="22"/>
              </w:rPr>
              <w:t>0</w:t>
            </w:r>
          </w:p>
        </w:tc>
        <w:tc>
          <w:tcPr>
            <w:tcW w:w="1667" w:type="pct"/>
            <w:hideMark/>
          </w:tcPr>
          <w:p w14:paraId="45322AEF" w14:textId="77777777" w:rsidR="00FB06E0" w:rsidRPr="00FB06E0" w:rsidRDefault="00FB06E0" w:rsidP="00FB06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-1205.41875</w:t>
            </w:r>
          </w:p>
        </w:tc>
        <w:tc>
          <w:tcPr>
            <w:tcW w:w="1667" w:type="pct"/>
            <w:hideMark/>
          </w:tcPr>
          <w:p w14:paraId="30A5E147" w14:textId="77777777" w:rsidR="00FB06E0" w:rsidRPr="00FB06E0" w:rsidRDefault="00FB06E0" w:rsidP="00FB06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min</w:t>
            </w:r>
          </w:p>
        </w:tc>
      </w:tr>
      <w:tr w:rsidR="00FB06E0" w:rsidRPr="00FB06E0" w14:paraId="49992CAF" w14:textId="77777777" w:rsidTr="003B7C6A">
        <w:trPr>
          <w:trHeight w:val="316"/>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72DC00F8" w14:textId="77777777" w:rsidR="00FB06E0" w:rsidRPr="00FB06E0" w:rsidRDefault="00FB06E0" w:rsidP="00FB06E0">
            <w:pPr>
              <w:spacing w:after="0"/>
              <w:jc w:val="center"/>
              <w:rPr>
                <w:rFonts w:ascii="Calibri" w:hAnsi="Calibri" w:cs="Calibri"/>
                <w:b w:val="0"/>
                <w:color w:val="000000"/>
                <w:sz w:val="22"/>
                <w:szCs w:val="22"/>
              </w:rPr>
            </w:pPr>
            <w:r w:rsidRPr="00FB06E0">
              <w:rPr>
                <w:rFonts w:ascii="Calibri" w:hAnsi="Calibri" w:cs="Calibri"/>
                <w:b w:val="0"/>
                <w:color w:val="000000"/>
                <w:sz w:val="22"/>
                <w:szCs w:val="22"/>
              </w:rPr>
              <w:t>1</w:t>
            </w:r>
          </w:p>
        </w:tc>
        <w:tc>
          <w:tcPr>
            <w:tcW w:w="1667" w:type="pct"/>
            <w:hideMark/>
          </w:tcPr>
          <w:p w14:paraId="7D1E0C19" w14:textId="77777777" w:rsidR="00FB06E0" w:rsidRPr="00FB06E0" w:rsidRDefault="00FB06E0" w:rsidP="00FB06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156.26444</w:t>
            </w:r>
          </w:p>
        </w:tc>
        <w:tc>
          <w:tcPr>
            <w:tcW w:w="1667" w:type="pct"/>
            <w:hideMark/>
          </w:tcPr>
          <w:p w14:paraId="04C30B67" w14:textId="77777777" w:rsidR="00FB06E0" w:rsidRPr="00FB06E0" w:rsidRDefault="00FB06E0" w:rsidP="00FB06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25th percentile</w:t>
            </w:r>
          </w:p>
        </w:tc>
      </w:tr>
      <w:tr w:rsidR="00FB06E0" w:rsidRPr="00FB06E0" w14:paraId="349542CB" w14:textId="77777777" w:rsidTr="003B7C6A">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14540D3E" w14:textId="77777777" w:rsidR="00FB06E0" w:rsidRPr="00FB06E0" w:rsidRDefault="00FB06E0" w:rsidP="00FB06E0">
            <w:pPr>
              <w:spacing w:after="0"/>
              <w:jc w:val="center"/>
              <w:rPr>
                <w:rFonts w:ascii="Calibri" w:hAnsi="Calibri" w:cs="Calibri"/>
                <w:b w:val="0"/>
                <w:color w:val="000000"/>
                <w:sz w:val="22"/>
                <w:szCs w:val="22"/>
              </w:rPr>
            </w:pPr>
            <w:r w:rsidRPr="00FB06E0">
              <w:rPr>
                <w:rFonts w:ascii="Calibri" w:hAnsi="Calibri" w:cs="Calibri"/>
                <w:b w:val="0"/>
                <w:color w:val="000000"/>
                <w:sz w:val="22"/>
                <w:szCs w:val="22"/>
              </w:rPr>
              <w:t>2</w:t>
            </w:r>
          </w:p>
        </w:tc>
        <w:tc>
          <w:tcPr>
            <w:tcW w:w="1667" w:type="pct"/>
            <w:hideMark/>
          </w:tcPr>
          <w:p w14:paraId="778CCAED" w14:textId="77777777" w:rsidR="00FB06E0" w:rsidRPr="00FB06E0" w:rsidRDefault="00FB06E0" w:rsidP="00FB06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309.85581</w:t>
            </w:r>
          </w:p>
        </w:tc>
        <w:tc>
          <w:tcPr>
            <w:tcW w:w="1667" w:type="pct"/>
            <w:hideMark/>
          </w:tcPr>
          <w:p w14:paraId="6F51EA45" w14:textId="77777777" w:rsidR="00FB06E0" w:rsidRPr="00FB06E0" w:rsidRDefault="00FB06E0" w:rsidP="00FB06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50th percentile</w:t>
            </w:r>
          </w:p>
        </w:tc>
      </w:tr>
      <w:tr w:rsidR="00FB06E0" w:rsidRPr="00FB06E0" w14:paraId="271CE089" w14:textId="77777777" w:rsidTr="003B7C6A">
        <w:trPr>
          <w:trHeight w:val="316"/>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5D30249C" w14:textId="77777777" w:rsidR="00FB06E0" w:rsidRPr="00FB06E0" w:rsidRDefault="00FB06E0" w:rsidP="00FB06E0">
            <w:pPr>
              <w:spacing w:after="0"/>
              <w:jc w:val="center"/>
              <w:rPr>
                <w:rFonts w:ascii="Calibri" w:hAnsi="Calibri" w:cs="Calibri"/>
                <w:b w:val="0"/>
                <w:color w:val="000000"/>
                <w:sz w:val="22"/>
                <w:szCs w:val="22"/>
              </w:rPr>
            </w:pPr>
            <w:r w:rsidRPr="00FB06E0">
              <w:rPr>
                <w:rFonts w:ascii="Calibri" w:hAnsi="Calibri" w:cs="Calibri"/>
                <w:b w:val="0"/>
                <w:color w:val="000000"/>
                <w:sz w:val="22"/>
                <w:szCs w:val="22"/>
              </w:rPr>
              <w:t>3</w:t>
            </w:r>
          </w:p>
        </w:tc>
        <w:tc>
          <w:tcPr>
            <w:tcW w:w="1667" w:type="pct"/>
            <w:hideMark/>
          </w:tcPr>
          <w:p w14:paraId="1AF95DB9" w14:textId="77777777" w:rsidR="00FB06E0" w:rsidRPr="00FB06E0" w:rsidRDefault="00FB06E0" w:rsidP="00FB06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737.790637</w:t>
            </w:r>
          </w:p>
        </w:tc>
        <w:tc>
          <w:tcPr>
            <w:tcW w:w="1667" w:type="pct"/>
            <w:hideMark/>
          </w:tcPr>
          <w:p w14:paraId="6B8D4F02" w14:textId="77777777" w:rsidR="00FB06E0" w:rsidRPr="00FB06E0" w:rsidRDefault="00FB06E0" w:rsidP="00FB06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75th percentile</w:t>
            </w:r>
          </w:p>
        </w:tc>
      </w:tr>
      <w:tr w:rsidR="00FB06E0" w:rsidRPr="00FB06E0" w14:paraId="25798265" w14:textId="77777777" w:rsidTr="003B7C6A">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19DEB553" w14:textId="77777777" w:rsidR="00FB06E0" w:rsidRPr="00FB06E0" w:rsidRDefault="00FB06E0" w:rsidP="00FB06E0">
            <w:pPr>
              <w:spacing w:after="0"/>
              <w:jc w:val="center"/>
              <w:rPr>
                <w:rFonts w:ascii="Calibri" w:hAnsi="Calibri" w:cs="Calibri"/>
                <w:b w:val="0"/>
                <w:color w:val="000000"/>
                <w:sz w:val="22"/>
                <w:szCs w:val="22"/>
              </w:rPr>
            </w:pPr>
            <w:r w:rsidRPr="00FB06E0">
              <w:rPr>
                <w:rFonts w:ascii="Calibri" w:hAnsi="Calibri" w:cs="Calibri"/>
                <w:b w:val="0"/>
                <w:color w:val="000000"/>
                <w:sz w:val="22"/>
                <w:szCs w:val="22"/>
              </w:rPr>
              <w:t>4</w:t>
            </w:r>
          </w:p>
        </w:tc>
        <w:tc>
          <w:tcPr>
            <w:tcW w:w="1667" w:type="pct"/>
            <w:hideMark/>
          </w:tcPr>
          <w:p w14:paraId="0FDEE48E" w14:textId="77777777" w:rsidR="00FB06E0" w:rsidRPr="00FB06E0" w:rsidRDefault="00FB06E0" w:rsidP="00FB06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8771.5414</w:t>
            </w:r>
          </w:p>
        </w:tc>
        <w:tc>
          <w:tcPr>
            <w:tcW w:w="1667" w:type="pct"/>
            <w:hideMark/>
          </w:tcPr>
          <w:p w14:paraId="74F2E649" w14:textId="77777777" w:rsidR="00FB06E0" w:rsidRPr="00FB06E0" w:rsidRDefault="00FB06E0" w:rsidP="00FB06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max</w:t>
            </w:r>
          </w:p>
        </w:tc>
      </w:tr>
    </w:tbl>
    <w:p w14:paraId="0D7355CE" w14:textId="5FD24F7A" w:rsidR="00FB06E0" w:rsidRDefault="00FB06E0" w:rsidP="00FB06E0"/>
    <w:p w14:paraId="205A2E88" w14:textId="2668045F" w:rsidR="003B7C6A" w:rsidRDefault="003B7C6A" w:rsidP="003B7C6A">
      <w:pPr>
        <w:pStyle w:val="Caption"/>
        <w:keepNext/>
      </w:pPr>
      <w:r>
        <w:t xml:space="preserve">Table </w:t>
      </w:r>
      <w:fldSimple w:instr=" SEQ Table \* ARABIC ">
        <w:r w:rsidR="00E43020">
          <w:rPr>
            <w:noProof/>
          </w:rPr>
          <w:t>2</w:t>
        </w:r>
      </w:fldSimple>
      <w:r>
        <w:t>: Repayment Rate Slope Quartiles (Group 2)</w:t>
      </w:r>
    </w:p>
    <w:tbl>
      <w:tblPr>
        <w:tblStyle w:val="GridTable4-Accent1"/>
        <w:tblW w:w="5000" w:type="pct"/>
        <w:tblLook w:val="04A0" w:firstRow="1" w:lastRow="0" w:firstColumn="1" w:lastColumn="0" w:noHBand="0" w:noVBand="1"/>
      </w:tblPr>
      <w:tblGrid>
        <w:gridCol w:w="3116"/>
        <w:gridCol w:w="3117"/>
        <w:gridCol w:w="3117"/>
      </w:tblGrid>
      <w:tr w:rsidR="00FB06E0" w:rsidRPr="00FB06E0" w14:paraId="1987B532" w14:textId="77777777" w:rsidTr="003B7C6A">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666" w:type="pct"/>
            <w:noWrap/>
            <w:hideMark/>
          </w:tcPr>
          <w:p w14:paraId="2DEE215F" w14:textId="77777777" w:rsidR="00FB06E0" w:rsidRPr="00FB06E0" w:rsidRDefault="00FB06E0" w:rsidP="00FB06E0">
            <w:pPr>
              <w:spacing w:after="0"/>
              <w:jc w:val="center"/>
              <w:rPr>
                <w:rFonts w:ascii="Calibri" w:hAnsi="Calibri" w:cs="Calibri"/>
                <w:sz w:val="22"/>
                <w:szCs w:val="22"/>
              </w:rPr>
            </w:pPr>
            <w:r w:rsidRPr="00FB06E0">
              <w:rPr>
                <w:rFonts w:ascii="Calibri" w:hAnsi="Calibri" w:cs="Calibri"/>
                <w:sz w:val="22"/>
                <w:szCs w:val="22"/>
              </w:rPr>
              <w:t>Quartile</w:t>
            </w:r>
          </w:p>
        </w:tc>
        <w:tc>
          <w:tcPr>
            <w:tcW w:w="1667" w:type="pct"/>
            <w:noWrap/>
            <w:hideMark/>
          </w:tcPr>
          <w:p w14:paraId="238312E7" w14:textId="74CC7D4D" w:rsidR="00FB06E0" w:rsidRPr="00FB06E0" w:rsidRDefault="00013B62" w:rsidP="00FB06E0">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Slope</w:t>
            </w:r>
          </w:p>
        </w:tc>
        <w:tc>
          <w:tcPr>
            <w:tcW w:w="1667" w:type="pct"/>
            <w:hideMark/>
          </w:tcPr>
          <w:p w14:paraId="7678F624" w14:textId="77777777" w:rsidR="00FB06E0" w:rsidRPr="00FB06E0" w:rsidRDefault="00FB06E0" w:rsidP="00FB06E0">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FB06E0">
              <w:rPr>
                <w:rFonts w:ascii="Calibri" w:hAnsi="Calibri" w:cs="Calibri"/>
                <w:sz w:val="22"/>
                <w:szCs w:val="22"/>
              </w:rPr>
              <w:t>Note</w:t>
            </w:r>
          </w:p>
        </w:tc>
      </w:tr>
      <w:tr w:rsidR="00FB06E0" w:rsidRPr="00FB06E0" w14:paraId="09EADB50" w14:textId="77777777" w:rsidTr="003B7C6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666" w:type="pct"/>
            <w:hideMark/>
          </w:tcPr>
          <w:p w14:paraId="063F0B38" w14:textId="77777777" w:rsidR="00FB06E0" w:rsidRPr="00FB06E0" w:rsidRDefault="00FB06E0" w:rsidP="00FB06E0">
            <w:pPr>
              <w:spacing w:after="0"/>
              <w:jc w:val="center"/>
              <w:rPr>
                <w:rFonts w:ascii="Calibri" w:hAnsi="Calibri" w:cs="Calibri"/>
                <w:b w:val="0"/>
                <w:color w:val="000000"/>
                <w:sz w:val="22"/>
                <w:szCs w:val="22"/>
              </w:rPr>
            </w:pPr>
            <w:r w:rsidRPr="00FB06E0">
              <w:rPr>
                <w:rFonts w:ascii="Calibri" w:hAnsi="Calibri" w:cs="Calibri"/>
                <w:b w:val="0"/>
                <w:color w:val="000000"/>
                <w:sz w:val="22"/>
                <w:szCs w:val="22"/>
              </w:rPr>
              <w:t>0</w:t>
            </w:r>
          </w:p>
        </w:tc>
        <w:tc>
          <w:tcPr>
            <w:tcW w:w="1667" w:type="pct"/>
            <w:hideMark/>
          </w:tcPr>
          <w:p w14:paraId="3B9E24D5" w14:textId="77777777" w:rsidR="00FB06E0" w:rsidRPr="00FB06E0" w:rsidRDefault="00FB06E0" w:rsidP="00FB06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-0.193532635</w:t>
            </w:r>
          </w:p>
        </w:tc>
        <w:tc>
          <w:tcPr>
            <w:tcW w:w="1667" w:type="pct"/>
            <w:hideMark/>
          </w:tcPr>
          <w:p w14:paraId="3CF7CFC7" w14:textId="77777777" w:rsidR="00FB06E0" w:rsidRPr="00FB06E0" w:rsidRDefault="00FB06E0" w:rsidP="00FB06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min</w:t>
            </w:r>
          </w:p>
        </w:tc>
      </w:tr>
      <w:tr w:rsidR="00FB06E0" w:rsidRPr="00FB06E0" w14:paraId="0C103FA4" w14:textId="77777777" w:rsidTr="003B7C6A">
        <w:trPr>
          <w:trHeight w:val="333"/>
        </w:trPr>
        <w:tc>
          <w:tcPr>
            <w:cnfStyle w:val="001000000000" w:firstRow="0" w:lastRow="0" w:firstColumn="1" w:lastColumn="0" w:oddVBand="0" w:evenVBand="0" w:oddHBand="0" w:evenHBand="0" w:firstRowFirstColumn="0" w:firstRowLastColumn="0" w:lastRowFirstColumn="0" w:lastRowLastColumn="0"/>
            <w:tcW w:w="1666" w:type="pct"/>
            <w:hideMark/>
          </w:tcPr>
          <w:p w14:paraId="11EC539F" w14:textId="77777777" w:rsidR="00FB06E0" w:rsidRPr="00FB06E0" w:rsidRDefault="00FB06E0" w:rsidP="00FB06E0">
            <w:pPr>
              <w:spacing w:after="0"/>
              <w:jc w:val="center"/>
              <w:rPr>
                <w:rFonts w:ascii="Calibri" w:hAnsi="Calibri" w:cs="Calibri"/>
                <w:b w:val="0"/>
                <w:color w:val="000000"/>
                <w:sz w:val="22"/>
                <w:szCs w:val="22"/>
              </w:rPr>
            </w:pPr>
            <w:r w:rsidRPr="00FB06E0">
              <w:rPr>
                <w:rFonts w:ascii="Calibri" w:hAnsi="Calibri" w:cs="Calibri"/>
                <w:b w:val="0"/>
                <w:color w:val="000000"/>
                <w:sz w:val="22"/>
                <w:szCs w:val="22"/>
              </w:rPr>
              <w:t>1</w:t>
            </w:r>
          </w:p>
        </w:tc>
        <w:tc>
          <w:tcPr>
            <w:tcW w:w="1667" w:type="pct"/>
            <w:hideMark/>
          </w:tcPr>
          <w:p w14:paraId="3250C025" w14:textId="77777777" w:rsidR="00FB06E0" w:rsidRPr="00FB06E0" w:rsidRDefault="00FB06E0" w:rsidP="00FB06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-0.057626055</w:t>
            </w:r>
          </w:p>
        </w:tc>
        <w:tc>
          <w:tcPr>
            <w:tcW w:w="1667" w:type="pct"/>
            <w:hideMark/>
          </w:tcPr>
          <w:p w14:paraId="5EE82CEC" w14:textId="77777777" w:rsidR="00FB06E0" w:rsidRPr="00FB06E0" w:rsidRDefault="00FB06E0" w:rsidP="00FB06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25th percentile</w:t>
            </w:r>
          </w:p>
        </w:tc>
      </w:tr>
      <w:tr w:rsidR="00FB06E0" w:rsidRPr="00FB06E0" w14:paraId="2D560132" w14:textId="77777777" w:rsidTr="003B7C6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666" w:type="pct"/>
            <w:hideMark/>
          </w:tcPr>
          <w:p w14:paraId="66662B40" w14:textId="77777777" w:rsidR="00FB06E0" w:rsidRPr="00FB06E0" w:rsidRDefault="00FB06E0" w:rsidP="00FB06E0">
            <w:pPr>
              <w:spacing w:after="0"/>
              <w:jc w:val="center"/>
              <w:rPr>
                <w:rFonts w:ascii="Calibri" w:hAnsi="Calibri" w:cs="Calibri"/>
                <w:b w:val="0"/>
                <w:color w:val="000000"/>
                <w:sz w:val="22"/>
                <w:szCs w:val="22"/>
              </w:rPr>
            </w:pPr>
            <w:r w:rsidRPr="00FB06E0">
              <w:rPr>
                <w:rFonts w:ascii="Calibri" w:hAnsi="Calibri" w:cs="Calibri"/>
                <w:b w:val="0"/>
                <w:color w:val="000000"/>
                <w:sz w:val="22"/>
                <w:szCs w:val="22"/>
              </w:rPr>
              <w:t>2</w:t>
            </w:r>
          </w:p>
        </w:tc>
        <w:tc>
          <w:tcPr>
            <w:tcW w:w="1667" w:type="pct"/>
            <w:hideMark/>
          </w:tcPr>
          <w:p w14:paraId="78962AAF" w14:textId="77777777" w:rsidR="00FB06E0" w:rsidRPr="00FB06E0" w:rsidRDefault="00FB06E0" w:rsidP="00FB06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-0.040448138</w:t>
            </w:r>
          </w:p>
        </w:tc>
        <w:tc>
          <w:tcPr>
            <w:tcW w:w="1667" w:type="pct"/>
            <w:hideMark/>
          </w:tcPr>
          <w:p w14:paraId="33F0861E" w14:textId="77777777" w:rsidR="00FB06E0" w:rsidRPr="00FB06E0" w:rsidRDefault="00FB06E0" w:rsidP="00FB06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50th percentile</w:t>
            </w:r>
          </w:p>
        </w:tc>
      </w:tr>
      <w:tr w:rsidR="00FB06E0" w:rsidRPr="00FB06E0" w14:paraId="43E798B1" w14:textId="77777777" w:rsidTr="003B7C6A">
        <w:trPr>
          <w:trHeight w:val="333"/>
        </w:trPr>
        <w:tc>
          <w:tcPr>
            <w:cnfStyle w:val="001000000000" w:firstRow="0" w:lastRow="0" w:firstColumn="1" w:lastColumn="0" w:oddVBand="0" w:evenVBand="0" w:oddHBand="0" w:evenHBand="0" w:firstRowFirstColumn="0" w:firstRowLastColumn="0" w:lastRowFirstColumn="0" w:lastRowLastColumn="0"/>
            <w:tcW w:w="1666" w:type="pct"/>
            <w:hideMark/>
          </w:tcPr>
          <w:p w14:paraId="57789BE7" w14:textId="77777777" w:rsidR="00FB06E0" w:rsidRPr="00FB06E0" w:rsidRDefault="00FB06E0" w:rsidP="00FB06E0">
            <w:pPr>
              <w:spacing w:after="0"/>
              <w:jc w:val="center"/>
              <w:rPr>
                <w:rFonts w:ascii="Calibri" w:hAnsi="Calibri" w:cs="Calibri"/>
                <w:b w:val="0"/>
                <w:color w:val="000000"/>
                <w:sz w:val="22"/>
                <w:szCs w:val="22"/>
              </w:rPr>
            </w:pPr>
            <w:r w:rsidRPr="00FB06E0">
              <w:rPr>
                <w:rFonts w:ascii="Calibri" w:hAnsi="Calibri" w:cs="Calibri"/>
                <w:b w:val="0"/>
                <w:color w:val="000000"/>
                <w:sz w:val="22"/>
                <w:szCs w:val="22"/>
              </w:rPr>
              <w:t>3</w:t>
            </w:r>
          </w:p>
        </w:tc>
        <w:tc>
          <w:tcPr>
            <w:tcW w:w="1667" w:type="pct"/>
            <w:hideMark/>
          </w:tcPr>
          <w:p w14:paraId="4901C45C" w14:textId="77777777" w:rsidR="00FB06E0" w:rsidRPr="00FB06E0" w:rsidRDefault="00FB06E0" w:rsidP="00FB06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-0.022066621</w:t>
            </w:r>
          </w:p>
        </w:tc>
        <w:tc>
          <w:tcPr>
            <w:tcW w:w="1667" w:type="pct"/>
            <w:hideMark/>
          </w:tcPr>
          <w:p w14:paraId="63D6D649" w14:textId="77777777" w:rsidR="00FB06E0" w:rsidRPr="00FB06E0" w:rsidRDefault="00FB06E0" w:rsidP="00FB06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75th percentile</w:t>
            </w:r>
          </w:p>
        </w:tc>
      </w:tr>
      <w:tr w:rsidR="00FB06E0" w:rsidRPr="00FB06E0" w14:paraId="36AF0C40" w14:textId="77777777" w:rsidTr="003B7C6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666" w:type="pct"/>
            <w:hideMark/>
          </w:tcPr>
          <w:p w14:paraId="26D9A6E7" w14:textId="77777777" w:rsidR="00FB06E0" w:rsidRPr="00FB06E0" w:rsidRDefault="00FB06E0" w:rsidP="00FB06E0">
            <w:pPr>
              <w:spacing w:after="0"/>
              <w:jc w:val="center"/>
              <w:rPr>
                <w:rFonts w:ascii="Calibri" w:hAnsi="Calibri" w:cs="Calibri"/>
                <w:b w:val="0"/>
                <w:color w:val="000000"/>
                <w:sz w:val="22"/>
                <w:szCs w:val="22"/>
              </w:rPr>
            </w:pPr>
            <w:r w:rsidRPr="00FB06E0">
              <w:rPr>
                <w:rFonts w:ascii="Calibri" w:hAnsi="Calibri" w:cs="Calibri"/>
                <w:b w:val="0"/>
                <w:color w:val="000000"/>
                <w:sz w:val="22"/>
                <w:szCs w:val="22"/>
              </w:rPr>
              <w:t>4</w:t>
            </w:r>
          </w:p>
        </w:tc>
        <w:tc>
          <w:tcPr>
            <w:tcW w:w="1667" w:type="pct"/>
            <w:hideMark/>
          </w:tcPr>
          <w:p w14:paraId="06E4B547" w14:textId="77777777" w:rsidR="00FB06E0" w:rsidRPr="00FB06E0" w:rsidRDefault="00FB06E0" w:rsidP="00FB06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0.071376503</w:t>
            </w:r>
          </w:p>
        </w:tc>
        <w:tc>
          <w:tcPr>
            <w:tcW w:w="1667" w:type="pct"/>
            <w:hideMark/>
          </w:tcPr>
          <w:p w14:paraId="0F0B119A" w14:textId="77777777" w:rsidR="00FB06E0" w:rsidRPr="00FB06E0" w:rsidRDefault="00FB06E0" w:rsidP="00FB06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FB06E0">
              <w:rPr>
                <w:rFonts w:ascii="Calibri" w:hAnsi="Calibri" w:cs="Calibri"/>
                <w:color w:val="000000"/>
                <w:sz w:val="22"/>
                <w:szCs w:val="22"/>
              </w:rPr>
              <w:t>max</w:t>
            </w:r>
          </w:p>
        </w:tc>
      </w:tr>
    </w:tbl>
    <w:p w14:paraId="206AD1C9" w14:textId="15A32A30" w:rsidR="003B7C6A" w:rsidRDefault="003B7C6A" w:rsidP="00FB06E0"/>
    <w:p w14:paraId="15823E44" w14:textId="20EC84ED" w:rsidR="003B7C6A" w:rsidRDefault="003B7C6A" w:rsidP="003B7C6A">
      <w:pPr>
        <w:pStyle w:val="Caption"/>
        <w:keepNext/>
      </w:pPr>
      <w:r>
        <w:t xml:space="preserve">Table </w:t>
      </w:r>
      <w:fldSimple w:instr=" SEQ Table \* ARABIC ">
        <w:r w:rsidR="00E43020">
          <w:rPr>
            <w:noProof/>
          </w:rPr>
          <w:t>3</w:t>
        </w:r>
      </w:fldSimple>
      <w:r>
        <w:t>: % Increased Balance Borrowers Slope Quartiles (Group 3)</w:t>
      </w:r>
    </w:p>
    <w:tbl>
      <w:tblPr>
        <w:tblStyle w:val="GridTable4-Accent1"/>
        <w:tblW w:w="5000" w:type="pct"/>
        <w:tblLook w:val="04A0" w:firstRow="1" w:lastRow="0" w:firstColumn="1" w:lastColumn="0" w:noHBand="0" w:noVBand="1"/>
      </w:tblPr>
      <w:tblGrid>
        <w:gridCol w:w="3116"/>
        <w:gridCol w:w="3117"/>
        <w:gridCol w:w="3117"/>
      </w:tblGrid>
      <w:tr w:rsidR="003B7C6A" w:rsidRPr="003B7C6A" w14:paraId="228C91C4" w14:textId="77777777" w:rsidTr="003B7C6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66" w:type="pct"/>
            <w:noWrap/>
            <w:hideMark/>
          </w:tcPr>
          <w:p w14:paraId="22B03498" w14:textId="77777777" w:rsidR="003B7C6A" w:rsidRPr="003B7C6A" w:rsidRDefault="003B7C6A" w:rsidP="003B7C6A">
            <w:pPr>
              <w:spacing w:after="0"/>
              <w:jc w:val="center"/>
              <w:rPr>
                <w:rFonts w:ascii="Calibri" w:hAnsi="Calibri" w:cs="Calibri"/>
                <w:sz w:val="22"/>
                <w:szCs w:val="22"/>
              </w:rPr>
            </w:pPr>
            <w:r w:rsidRPr="003B7C6A">
              <w:rPr>
                <w:rFonts w:ascii="Calibri" w:hAnsi="Calibri" w:cs="Calibri"/>
                <w:sz w:val="22"/>
                <w:szCs w:val="22"/>
              </w:rPr>
              <w:t>Quartile</w:t>
            </w:r>
          </w:p>
        </w:tc>
        <w:tc>
          <w:tcPr>
            <w:tcW w:w="1667" w:type="pct"/>
            <w:noWrap/>
            <w:hideMark/>
          </w:tcPr>
          <w:p w14:paraId="5CDE68E2" w14:textId="46A76763" w:rsidR="003B7C6A" w:rsidRPr="003B7C6A" w:rsidRDefault="00013B62" w:rsidP="003B7C6A">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Slope</w:t>
            </w:r>
          </w:p>
        </w:tc>
        <w:tc>
          <w:tcPr>
            <w:tcW w:w="1667" w:type="pct"/>
            <w:hideMark/>
          </w:tcPr>
          <w:p w14:paraId="5B6A92BF" w14:textId="77777777" w:rsidR="003B7C6A" w:rsidRPr="003B7C6A" w:rsidRDefault="003B7C6A" w:rsidP="003B7C6A">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B7C6A">
              <w:rPr>
                <w:rFonts w:ascii="Calibri" w:hAnsi="Calibri" w:cs="Calibri"/>
                <w:sz w:val="22"/>
                <w:szCs w:val="22"/>
              </w:rPr>
              <w:t>Note</w:t>
            </w:r>
          </w:p>
        </w:tc>
      </w:tr>
      <w:tr w:rsidR="003B7C6A" w:rsidRPr="003B7C6A" w14:paraId="57FAFCA2" w14:textId="77777777" w:rsidTr="003B7C6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66" w:type="pct"/>
            <w:hideMark/>
          </w:tcPr>
          <w:p w14:paraId="05C0C0A8" w14:textId="77777777" w:rsidR="003B7C6A" w:rsidRPr="003B7C6A" w:rsidRDefault="003B7C6A" w:rsidP="003B7C6A">
            <w:pPr>
              <w:spacing w:after="0"/>
              <w:jc w:val="center"/>
              <w:rPr>
                <w:rFonts w:ascii="Calibri" w:hAnsi="Calibri" w:cs="Calibri"/>
                <w:b w:val="0"/>
                <w:color w:val="000000"/>
                <w:sz w:val="22"/>
                <w:szCs w:val="22"/>
              </w:rPr>
            </w:pPr>
            <w:r w:rsidRPr="003B7C6A">
              <w:rPr>
                <w:rFonts w:ascii="Calibri" w:hAnsi="Calibri" w:cs="Calibri"/>
                <w:b w:val="0"/>
                <w:color w:val="000000"/>
                <w:sz w:val="22"/>
                <w:szCs w:val="22"/>
              </w:rPr>
              <w:t>0</w:t>
            </w:r>
          </w:p>
        </w:tc>
        <w:tc>
          <w:tcPr>
            <w:tcW w:w="1667" w:type="pct"/>
            <w:hideMark/>
          </w:tcPr>
          <w:p w14:paraId="4EABA633" w14:textId="77777777" w:rsidR="003B7C6A" w:rsidRPr="003B7C6A" w:rsidRDefault="003B7C6A" w:rsidP="003B7C6A">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-0.208695652</w:t>
            </w:r>
          </w:p>
        </w:tc>
        <w:tc>
          <w:tcPr>
            <w:tcW w:w="1667" w:type="pct"/>
            <w:hideMark/>
          </w:tcPr>
          <w:p w14:paraId="2A13E312" w14:textId="77777777" w:rsidR="003B7C6A" w:rsidRPr="003B7C6A" w:rsidRDefault="003B7C6A" w:rsidP="003B7C6A">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min</w:t>
            </w:r>
          </w:p>
        </w:tc>
      </w:tr>
      <w:tr w:rsidR="003B7C6A" w:rsidRPr="003B7C6A" w14:paraId="52B260AE" w14:textId="77777777" w:rsidTr="003B7C6A">
        <w:trPr>
          <w:trHeight w:val="283"/>
        </w:trPr>
        <w:tc>
          <w:tcPr>
            <w:cnfStyle w:val="001000000000" w:firstRow="0" w:lastRow="0" w:firstColumn="1" w:lastColumn="0" w:oddVBand="0" w:evenVBand="0" w:oddHBand="0" w:evenHBand="0" w:firstRowFirstColumn="0" w:firstRowLastColumn="0" w:lastRowFirstColumn="0" w:lastRowLastColumn="0"/>
            <w:tcW w:w="1666" w:type="pct"/>
            <w:hideMark/>
          </w:tcPr>
          <w:p w14:paraId="52BABD8C" w14:textId="77777777" w:rsidR="003B7C6A" w:rsidRPr="003B7C6A" w:rsidRDefault="003B7C6A" w:rsidP="003B7C6A">
            <w:pPr>
              <w:spacing w:after="0"/>
              <w:jc w:val="center"/>
              <w:rPr>
                <w:rFonts w:ascii="Calibri" w:hAnsi="Calibri" w:cs="Calibri"/>
                <w:b w:val="0"/>
                <w:color w:val="000000"/>
                <w:sz w:val="22"/>
                <w:szCs w:val="22"/>
              </w:rPr>
            </w:pPr>
            <w:r w:rsidRPr="003B7C6A">
              <w:rPr>
                <w:rFonts w:ascii="Calibri" w:hAnsi="Calibri" w:cs="Calibri"/>
                <w:b w:val="0"/>
                <w:color w:val="000000"/>
                <w:sz w:val="22"/>
                <w:szCs w:val="22"/>
              </w:rPr>
              <w:t>1</w:t>
            </w:r>
          </w:p>
        </w:tc>
        <w:tc>
          <w:tcPr>
            <w:tcW w:w="1667" w:type="pct"/>
            <w:hideMark/>
          </w:tcPr>
          <w:p w14:paraId="610696DF" w14:textId="77777777" w:rsidR="003B7C6A" w:rsidRPr="003B7C6A" w:rsidRDefault="003B7C6A" w:rsidP="003B7C6A">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0.017511521</w:t>
            </w:r>
          </w:p>
        </w:tc>
        <w:tc>
          <w:tcPr>
            <w:tcW w:w="1667" w:type="pct"/>
            <w:hideMark/>
          </w:tcPr>
          <w:p w14:paraId="54D6E23F" w14:textId="77777777" w:rsidR="003B7C6A" w:rsidRPr="003B7C6A" w:rsidRDefault="003B7C6A" w:rsidP="003B7C6A">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25th percentile</w:t>
            </w:r>
          </w:p>
        </w:tc>
      </w:tr>
      <w:tr w:rsidR="003B7C6A" w:rsidRPr="003B7C6A" w14:paraId="68D1F2C5" w14:textId="77777777" w:rsidTr="003B7C6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66" w:type="pct"/>
            <w:hideMark/>
          </w:tcPr>
          <w:p w14:paraId="2033CC3A" w14:textId="77777777" w:rsidR="003B7C6A" w:rsidRPr="003B7C6A" w:rsidRDefault="003B7C6A" w:rsidP="003B7C6A">
            <w:pPr>
              <w:spacing w:after="0"/>
              <w:jc w:val="center"/>
              <w:rPr>
                <w:rFonts w:ascii="Calibri" w:hAnsi="Calibri" w:cs="Calibri"/>
                <w:b w:val="0"/>
                <w:color w:val="000000"/>
                <w:sz w:val="22"/>
                <w:szCs w:val="22"/>
              </w:rPr>
            </w:pPr>
            <w:r w:rsidRPr="003B7C6A">
              <w:rPr>
                <w:rFonts w:ascii="Calibri" w:hAnsi="Calibri" w:cs="Calibri"/>
                <w:b w:val="0"/>
                <w:color w:val="000000"/>
                <w:sz w:val="22"/>
                <w:szCs w:val="22"/>
              </w:rPr>
              <w:t>2</w:t>
            </w:r>
          </w:p>
        </w:tc>
        <w:tc>
          <w:tcPr>
            <w:tcW w:w="1667" w:type="pct"/>
            <w:hideMark/>
          </w:tcPr>
          <w:p w14:paraId="7E2E9ED0" w14:textId="77777777" w:rsidR="003B7C6A" w:rsidRPr="003B7C6A" w:rsidRDefault="003B7C6A" w:rsidP="003B7C6A">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0.0405</w:t>
            </w:r>
          </w:p>
        </w:tc>
        <w:tc>
          <w:tcPr>
            <w:tcW w:w="1667" w:type="pct"/>
            <w:hideMark/>
          </w:tcPr>
          <w:p w14:paraId="5D8F9848" w14:textId="77777777" w:rsidR="003B7C6A" w:rsidRPr="003B7C6A" w:rsidRDefault="003B7C6A" w:rsidP="003B7C6A">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50th percentile</w:t>
            </w:r>
          </w:p>
        </w:tc>
      </w:tr>
      <w:tr w:rsidR="003B7C6A" w:rsidRPr="003B7C6A" w14:paraId="698C430E" w14:textId="77777777" w:rsidTr="003B7C6A">
        <w:trPr>
          <w:trHeight w:val="283"/>
        </w:trPr>
        <w:tc>
          <w:tcPr>
            <w:cnfStyle w:val="001000000000" w:firstRow="0" w:lastRow="0" w:firstColumn="1" w:lastColumn="0" w:oddVBand="0" w:evenVBand="0" w:oddHBand="0" w:evenHBand="0" w:firstRowFirstColumn="0" w:firstRowLastColumn="0" w:lastRowFirstColumn="0" w:lastRowLastColumn="0"/>
            <w:tcW w:w="1666" w:type="pct"/>
            <w:hideMark/>
          </w:tcPr>
          <w:p w14:paraId="595B6FFE" w14:textId="77777777" w:rsidR="003B7C6A" w:rsidRPr="003B7C6A" w:rsidRDefault="003B7C6A" w:rsidP="003B7C6A">
            <w:pPr>
              <w:spacing w:after="0"/>
              <w:jc w:val="center"/>
              <w:rPr>
                <w:rFonts w:ascii="Calibri" w:hAnsi="Calibri" w:cs="Calibri"/>
                <w:b w:val="0"/>
                <w:color w:val="000000"/>
                <w:sz w:val="22"/>
                <w:szCs w:val="22"/>
              </w:rPr>
            </w:pPr>
            <w:r w:rsidRPr="003B7C6A">
              <w:rPr>
                <w:rFonts w:ascii="Calibri" w:hAnsi="Calibri" w:cs="Calibri"/>
                <w:b w:val="0"/>
                <w:color w:val="000000"/>
                <w:sz w:val="22"/>
                <w:szCs w:val="22"/>
              </w:rPr>
              <w:t>3</w:t>
            </w:r>
          </w:p>
        </w:tc>
        <w:tc>
          <w:tcPr>
            <w:tcW w:w="1667" w:type="pct"/>
            <w:hideMark/>
          </w:tcPr>
          <w:p w14:paraId="23E449DA" w14:textId="77777777" w:rsidR="003B7C6A" w:rsidRPr="003B7C6A" w:rsidRDefault="003B7C6A" w:rsidP="003B7C6A">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0.063650307</w:t>
            </w:r>
          </w:p>
        </w:tc>
        <w:tc>
          <w:tcPr>
            <w:tcW w:w="1667" w:type="pct"/>
            <w:hideMark/>
          </w:tcPr>
          <w:p w14:paraId="07F1FD3A" w14:textId="77777777" w:rsidR="003B7C6A" w:rsidRPr="003B7C6A" w:rsidRDefault="003B7C6A" w:rsidP="003B7C6A">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75th percentile</w:t>
            </w:r>
          </w:p>
        </w:tc>
      </w:tr>
      <w:tr w:rsidR="003B7C6A" w:rsidRPr="003B7C6A" w14:paraId="369D2A56" w14:textId="77777777" w:rsidTr="003B7C6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66" w:type="pct"/>
            <w:hideMark/>
          </w:tcPr>
          <w:p w14:paraId="44F557A3" w14:textId="77777777" w:rsidR="003B7C6A" w:rsidRPr="003B7C6A" w:rsidRDefault="003B7C6A" w:rsidP="003B7C6A">
            <w:pPr>
              <w:spacing w:after="0"/>
              <w:jc w:val="center"/>
              <w:rPr>
                <w:rFonts w:ascii="Calibri" w:hAnsi="Calibri" w:cs="Calibri"/>
                <w:b w:val="0"/>
                <w:color w:val="000000"/>
                <w:sz w:val="22"/>
                <w:szCs w:val="22"/>
              </w:rPr>
            </w:pPr>
            <w:r w:rsidRPr="003B7C6A">
              <w:rPr>
                <w:rFonts w:ascii="Calibri" w:hAnsi="Calibri" w:cs="Calibri"/>
                <w:b w:val="0"/>
                <w:color w:val="000000"/>
                <w:sz w:val="22"/>
                <w:szCs w:val="22"/>
              </w:rPr>
              <w:t>4</w:t>
            </w:r>
          </w:p>
        </w:tc>
        <w:tc>
          <w:tcPr>
            <w:tcW w:w="1667" w:type="pct"/>
            <w:hideMark/>
          </w:tcPr>
          <w:p w14:paraId="132FE31B" w14:textId="77777777" w:rsidR="003B7C6A" w:rsidRPr="003B7C6A" w:rsidRDefault="003B7C6A" w:rsidP="003B7C6A">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0.188372093</w:t>
            </w:r>
          </w:p>
        </w:tc>
        <w:tc>
          <w:tcPr>
            <w:tcW w:w="1667" w:type="pct"/>
            <w:hideMark/>
          </w:tcPr>
          <w:p w14:paraId="2F2842F3" w14:textId="77777777" w:rsidR="003B7C6A" w:rsidRPr="003B7C6A" w:rsidRDefault="003B7C6A" w:rsidP="003B7C6A">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max</w:t>
            </w:r>
          </w:p>
        </w:tc>
      </w:tr>
    </w:tbl>
    <w:p w14:paraId="2F963AD8" w14:textId="65776A1C" w:rsidR="003B7C6A" w:rsidRDefault="003B7C6A" w:rsidP="00FB06E0"/>
    <w:p w14:paraId="3AE865EA" w14:textId="0F8A0916" w:rsidR="003B7C6A" w:rsidRDefault="003B7C6A" w:rsidP="003B7C6A">
      <w:pPr>
        <w:pStyle w:val="Caption"/>
        <w:keepNext/>
      </w:pPr>
      <w:r>
        <w:lastRenderedPageBreak/>
        <w:t xml:space="preserve">Table </w:t>
      </w:r>
      <w:fldSimple w:instr=" SEQ Table \* ARABIC ">
        <w:r w:rsidR="00E43020">
          <w:rPr>
            <w:noProof/>
          </w:rPr>
          <w:t>4</w:t>
        </w:r>
      </w:fldSimple>
      <w:r>
        <w:t>: Defaulted Balance Slope Quartiles (Group 4)</w:t>
      </w:r>
    </w:p>
    <w:tbl>
      <w:tblPr>
        <w:tblStyle w:val="GridTable4-Accent1"/>
        <w:tblW w:w="5000" w:type="pct"/>
        <w:tblLook w:val="04A0" w:firstRow="1" w:lastRow="0" w:firstColumn="1" w:lastColumn="0" w:noHBand="0" w:noVBand="1"/>
      </w:tblPr>
      <w:tblGrid>
        <w:gridCol w:w="3116"/>
        <w:gridCol w:w="3117"/>
        <w:gridCol w:w="3117"/>
      </w:tblGrid>
      <w:tr w:rsidR="003B7C6A" w:rsidRPr="003B7C6A" w14:paraId="3FD49743" w14:textId="77777777" w:rsidTr="003B7C6A">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66" w:type="pct"/>
            <w:noWrap/>
            <w:hideMark/>
          </w:tcPr>
          <w:p w14:paraId="13CEDBBF" w14:textId="77777777" w:rsidR="003B7C6A" w:rsidRPr="003B7C6A" w:rsidRDefault="003B7C6A" w:rsidP="003B7C6A">
            <w:pPr>
              <w:spacing w:after="0"/>
              <w:jc w:val="center"/>
              <w:rPr>
                <w:rFonts w:ascii="Calibri" w:hAnsi="Calibri" w:cs="Calibri"/>
                <w:sz w:val="22"/>
                <w:szCs w:val="22"/>
              </w:rPr>
            </w:pPr>
            <w:r w:rsidRPr="003B7C6A">
              <w:rPr>
                <w:rFonts w:ascii="Calibri" w:hAnsi="Calibri" w:cs="Calibri"/>
                <w:sz w:val="22"/>
                <w:szCs w:val="22"/>
              </w:rPr>
              <w:t>Quartile</w:t>
            </w:r>
          </w:p>
        </w:tc>
        <w:tc>
          <w:tcPr>
            <w:tcW w:w="1667" w:type="pct"/>
            <w:noWrap/>
            <w:hideMark/>
          </w:tcPr>
          <w:p w14:paraId="01D0F08E" w14:textId="3423F918" w:rsidR="003B7C6A" w:rsidRPr="003B7C6A" w:rsidRDefault="00013B62" w:rsidP="003B7C6A">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Slope</w:t>
            </w:r>
          </w:p>
        </w:tc>
        <w:tc>
          <w:tcPr>
            <w:tcW w:w="1667" w:type="pct"/>
            <w:hideMark/>
          </w:tcPr>
          <w:p w14:paraId="47A92A9D" w14:textId="77777777" w:rsidR="003B7C6A" w:rsidRPr="003B7C6A" w:rsidRDefault="003B7C6A" w:rsidP="003B7C6A">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B7C6A">
              <w:rPr>
                <w:rFonts w:ascii="Calibri" w:hAnsi="Calibri" w:cs="Calibri"/>
                <w:sz w:val="22"/>
                <w:szCs w:val="22"/>
              </w:rPr>
              <w:t>Note</w:t>
            </w:r>
          </w:p>
        </w:tc>
      </w:tr>
      <w:tr w:rsidR="003B7C6A" w:rsidRPr="003B7C6A" w14:paraId="07972FA2" w14:textId="77777777" w:rsidTr="003B7C6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66" w:type="pct"/>
            <w:hideMark/>
          </w:tcPr>
          <w:p w14:paraId="59BBC818" w14:textId="77777777" w:rsidR="003B7C6A" w:rsidRPr="003B7C6A" w:rsidRDefault="003B7C6A" w:rsidP="003B7C6A">
            <w:pPr>
              <w:spacing w:after="0"/>
              <w:jc w:val="center"/>
              <w:rPr>
                <w:rFonts w:ascii="Calibri" w:hAnsi="Calibri" w:cs="Calibri"/>
                <w:b w:val="0"/>
                <w:color w:val="000000"/>
                <w:sz w:val="22"/>
                <w:szCs w:val="22"/>
              </w:rPr>
            </w:pPr>
            <w:r w:rsidRPr="003B7C6A">
              <w:rPr>
                <w:rFonts w:ascii="Calibri" w:hAnsi="Calibri" w:cs="Calibri"/>
                <w:b w:val="0"/>
                <w:color w:val="000000"/>
                <w:sz w:val="22"/>
                <w:szCs w:val="22"/>
              </w:rPr>
              <w:t>0</w:t>
            </w:r>
          </w:p>
        </w:tc>
        <w:tc>
          <w:tcPr>
            <w:tcW w:w="1667" w:type="pct"/>
            <w:hideMark/>
          </w:tcPr>
          <w:p w14:paraId="13F829FF" w14:textId="77777777" w:rsidR="003B7C6A" w:rsidRPr="003B7C6A" w:rsidRDefault="003B7C6A" w:rsidP="003B7C6A">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-2812.146667</w:t>
            </w:r>
          </w:p>
        </w:tc>
        <w:tc>
          <w:tcPr>
            <w:tcW w:w="1667" w:type="pct"/>
            <w:hideMark/>
          </w:tcPr>
          <w:p w14:paraId="326FD6FB" w14:textId="77777777" w:rsidR="003B7C6A" w:rsidRPr="003B7C6A" w:rsidRDefault="003B7C6A" w:rsidP="003B7C6A">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min</w:t>
            </w:r>
          </w:p>
        </w:tc>
      </w:tr>
      <w:tr w:rsidR="003B7C6A" w:rsidRPr="003B7C6A" w14:paraId="7F9F7006" w14:textId="77777777" w:rsidTr="003B7C6A">
        <w:trPr>
          <w:trHeight w:val="286"/>
        </w:trPr>
        <w:tc>
          <w:tcPr>
            <w:cnfStyle w:val="001000000000" w:firstRow="0" w:lastRow="0" w:firstColumn="1" w:lastColumn="0" w:oddVBand="0" w:evenVBand="0" w:oddHBand="0" w:evenHBand="0" w:firstRowFirstColumn="0" w:firstRowLastColumn="0" w:lastRowFirstColumn="0" w:lastRowLastColumn="0"/>
            <w:tcW w:w="1666" w:type="pct"/>
            <w:hideMark/>
          </w:tcPr>
          <w:p w14:paraId="4E0B022A" w14:textId="77777777" w:rsidR="003B7C6A" w:rsidRPr="003B7C6A" w:rsidRDefault="003B7C6A" w:rsidP="003B7C6A">
            <w:pPr>
              <w:spacing w:after="0"/>
              <w:jc w:val="center"/>
              <w:rPr>
                <w:rFonts w:ascii="Calibri" w:hAnsi="Calibri" w:cs="Calibri"/>
                <w:b w:val="0"/>
                <w:color w:val="000000"/>
                <w:sz w:val="22"/>
                <w:szCs w:val="22"/>
              </w:rPr>
            </w:pPr>
            <w:r w:rsidRPr="003B7C6A">
              <w:rPr>
                <w:rFonts w:ascii="Calibri" w:hAnsi="Calibri" w:cs="Calibri"/>
                <w:b w:val="0"/>
                <w:color w:val="000000"/>
                <w:sz w:val="22"/>
                <w:szCs w:val="22"/>
              </w:rPr>
              <w:t>1</w:t>
            </w:r>
          </w:p>
        </w:tc>
        <w:tc>
          <w:tcPr>
            <w:tcW w:w="1667" w:type="pct"/>
            <w:hideMark/>
          </w:tcPr>
          <w:p w14:paraId="175ED476" w14:textId="77777777" w:rsidR="003B7C6A" w:rsidRPr="003B7C6A" w:rsidRDefault="003B7C6A" w:rsidP="003B7C6A">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-311.7325522</w:t>
            </w:r>
          </w:p>
        </w:tc>
        <w:tc>
          <w:tcPr>
            <w:tcW w:w="1667" w:type="pct"/>
            <w:hideMark/>
          </w:tcPr>
          <w:p w14:paraId="2C09661F" w14:textId="77777777" w:rsidR="003B7C6A" w:rsidRPr="003B7C6A" w:rsidRDefault="003B7C6A" w:rsidP="003B7C6A">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25th percentile</w:t>
            </w:r>
          </w:p>
        </w:tc>
      </w:tr>
      <w:tr w:rsidR="003B7C6A" w:rsidRPr="003B7C6A" w14:paraId="74625FAF" w14:textId="77777777" w:rsidTr="003B7C6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66" w:type="pct"/>
            <w:hideMark/>
          </w:tcPr>
          <w:p w14:paraId="2299A24C" w14:textId="77777777" w:rsidR="003B7C6A" w:rsidRPr="003B7C6A" w:rsidRDefault="003B7C6A" w:rsidP="003B7C6A">
            <w:pPr>
              <w:spacing w:after="0"/>
              <w:jc w:val="center"/>
              <w:rPr>
                <w:rFonts w:ascii="Calibri" w:hAnsi="Calibri" w:cs="Calibri"/>
                <w:b w:val="0"/>
                <w:color w:val="000000"/>
                <w:sz w:val="22"/>
                <w:szCs w:val="22"/>
              </w:rPr>
            </w:pPr>
            <w:r w:rsidRPr="003B7C6A">
              <w:rPr>
                <w:rFonts w:ascii="Calibri" w:hAnsi="Calibri" w:cs="Calibri"/>
                <w:b w:val="0"/>
                <w:color w:val="000000"/>
                <w:sz w:val="22"/>
                <w:szCs w:val="22"/>
              </w:rPr>
              <w:t>2</w:t>
            </w:r>
          </w:p>
        </w:tc>
        <w:tc>
          <w:tcPr>
            <w:tcW w:w="1667" w:type="pct"/>
            <w:hideMark/>
          </w:tcPr>
          <w:p w14:paraId="7AF40ADB" w14:textId="77777777" w:rsidR="003B7C6A" w:rsidRPr="003B7C6A" w:rsidRDefault="003B7C6A" w:rsidP="003B7C6A">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-172.6142857</w:t>
            </w:r>
          </w:p>
        </w:tc>
        <w:tc>
          <w:tcPr>
            <w:tcW w:w="1667" w:type="pct"/>
            <w:hideMark/>
          </w:tcPr>
          <w:p w14:paraId="7F517E2C" w14:textId="77777777" w:rsidR="003B7C6A" w:rsidRPr="003B7C6A" w:rsidRDefault="003B7C6A" w:rsidP="003B7C6A">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50th percentile</w:t>
            </w:r>
          </w:p>
        </w:tc>
      </w:tr>
      <w:tr w:rsidR="003B7C6A" w:rsidRPr="003B7C6A" w14:paraId="0CAEF13C" w14:textId="77777777" w:rsidTr="003B7C6A">
        <w:trPr>
          <w:trHeight w:val="286"/>
        </w:trPr>
        <w:tc>
          <w:tcPr>
            <w:cnfStyle w:val="001000000000" w:firstRow="0" w:lastRow="0" w:firstColumn="1" w:lastColumn="0" w:oddVBand="0" w:evenVBand="0" w:oddHBand="0" w:evenHBand="0" w:firstRowFirstColumn="0" w:firstRowLastColumn="0" w:lastRowFirstColumn="0" w:lastRowLastColumn="0"/>
            <w:tcW w:w="1666" w:type="pct"/>
            <w:hideMark/>
          </w:tcPr>
          <w:p w14:paraId="7CFDA698" w14:textId="77777777" w:rsidR="003B7C6A" w:rsidRPr="003B7C6A" w:rsidRDefault="003B7C6A" w:rsidP="003B7C6A">
            <w:pPr>
              <w:spacing w:after="0"/>
              <w:jc w:val="center"/>
              <w:rPr>
                <w:rFonts w:ascii="Calibri" w:hAnsi="Calibri" w:cs="Calibri"/>
                <w:b w:val="0"/>
                <w:color w:val="000000"/>
                <w:sz w:val="22"/>
                <w:szCs w:val="22"/>
              </w:rPr>
            </w:pPr>
            <w:r w:rsidRPr="003B7C6A">
              <w:rPr>
                <w:rFonts w:ascii="Calibri" w:hAnsi="Calibri" w:cs="Calibri"/>
                <w:b w:val="0"/>
                <w:color w:val="000000"/>
                <w:sz w:val="22"/>
                <w:szCs w:val="22"/>
              </w:rPr>
              <w:t>3</w:t>
            </w:r>
          </w:p>
        </w:tc>
        <w:tc>
          <w:tcPr>
            <w:tcW w:w="1667" w:type="pct"/>
            <w:hideMark/>
          </w:tcPr>
          <w:p w14:paraId="29ED1652" w14:textId="77777777" w:rsidR="003B7C6A" w:rsidRPr="003B7C6A" w:rsidRDefault="003B7C6A" w:rsidP="003B7C6A">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-88.06518096</w:t>
            </w:r>
          </w:p>
        </w:tc>
        <w:tc>
          <w:tcPr>
            <w:tcW w:w="1667" w:type="pct"/>
            <w:hideMark/>
          </w:tcPr>
          <w:p w14:paraId="077E206F" w14:textId="77777777" w:rsidR="003B7C6A" w:rsidRPr="003B7C6A" w:rsidRDefault="003B7C6A" w:rsidP="003B7C6A">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75th percentile</w:t>
            </w:r>
          </w:p>
        </w:tc>
      </w:tr>
      <w:tr w:rsidR="003B7C6A" w:rsidRPr="003B7C6A" w14:paraId="23DD248E" w14:textId="77777777" w:rsidTr="003B7C6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66" w:type="pct"/>
            <w:hideMark/>
          </w:tcPr>
          <w:p w14:paraId="2E693309" w14:textId="77777777" w:rsidR="003B7C6A" w:rsidRPr="003B7C6A" w:rsidRDefault="003B7C6A" w:rsidP="003B7C6A">
            <w:pPr>
              <w:spacing w:after="0"/>
              <w:jc w:val="center"/>
              <w:rPr>
                <w:rFonts w:ascii="Calibri" w:hAnsi="Calibri" w:cs="Calibri"/>
                <w:b w:val="0"/>
                <w:color w:val="000000"/>
                <w:sz w:val="22"/>
                <w:szCs w:val="22"/>
              </w:rPr>
            </w:pPr>
            <w:r w:rsidRPr="003B7C6A">
              <w:rPr>
                <w:rFonts w:ascii="Calibri" w:hAnsi="Calibri" w:cs="Calibri"/>
                <w:b w:val="0"/>
                <w:color w:val="000000"/>
                <w:sz w:val="22"/>
                <w:szCs w:val="22"/>
              </w:rPr>
              <w:t>4</w:t>
            </w:r>
          </w:p>
        </w:tc>
        <w:tc>
          <w:tcPr>
            <w:tcW w:w="1667" w:type="pct"/>
            <w:hideMark/>
          </w:tcPr>
          <w:p w14:paraId="14D7A881" w14:textId="77777777" w:rsidR="003B7C6A" w:rsidRPr="003B7C6A" w:rsidRDefault="003B7C6A" w:rsidP="003B7C6A">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929.468</w:t>
            </w:r>
          </w:p>
        </w:tc>
        <w:tc>
          <w:tcPr>
            <w:tcW w:w="1667" w:type="pct"/>
            <w:hideMark/>
          </w:tcPr>
          <w:p w14:paraId="3068143D" w14:textId="77777777" w:rsidR="003B7C6A" w:rsidRPr="003B7C6A" w:rsidRDefault="003B7C6A" w:rsidP="003B7C6A">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max</w:t>
            </w:r>
          </w:p>
        </w:tc>
      </w:tr>
    </w:tbl>
    <w:p w14:paraId="312EA22B" w14:textId="5CB7E9D5" w:rsidR="003B7C6A" w:rsidRDefault="003B7C6A" w:rsidP="00FB06E0"/>
    <w:p w14:paraId="169277B5" w14:textId="004670CA" w:rsidR="003B7C6A" w:rsidRDefault="003B7C6A" w:rsidP="00FB06E0">
      <w:r>
        <w:t xml:space="preserve">Each quartile range was assigned a point value as show in Table 5. </w:t>
      </w:r>
    </w:p>
    <w:p w14:paraId="17FD8598" w14:textId="2D435544" w:rsidR="003B7C6A" w:rsidRDefault="003B7C6A" w:rsidP="003B7C6A">
      <w:pPr>
        <w:pStyle w:val="Caption"/>
        <w:keepNext/>
      </w:pPr>
      <w:r>
        <w:t xml:space="preserve">Table </w:t>
      </w:r>
      <w:fldSimple w:instr=" SEQ Table \* ARABIC ">
        <w:r w:rsidR="00E43020">
          <w:rPr>
            <w:noProof/>
          </w:rPr>
          <w:t>5</w:t>
        </w:r>
      </w:fldSimple>
      <w:r>
        <w:t>: Quartile Point Assignment</w:t>
      </w:r>
    </w:p>
    <w:tbl>
      <w:tblPr>
        <w:tblStyle w:val="GridTable4-Accent1"/>
        <w:tblW w:w="5000" w:type="pct"/>
        <w:tblLook w:val="04A0" w:firstRow="1" w:lastRow="0" w:firstColumn="1" w:lastColumn="0" w:noHBand="0" w:noVBand="1"/>
      </w:tblPr>
      <w:tblGrid>
        <w:gridCol w:w="4675"/>
        <w:gridCol w:w="4675"/>
      </w:tblGrid>
      <w:tr w:rsidR="003B7C6A" w:rsidRPr="003B7C6A" w14:paraId="66E59927" w14:textId="5278746F" w:rsidTr="003B7C6A">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00" w:type="pct"/>
            <w:hideMark/>
          </w:tcPr>
          <w:p w14:paraId="405062A8" w14:textId="6C8BE8EF" w:rsidR="003B7C6A" w:rsidRPr="003B7C6A" w:rsidRDefault="003B7C6A" w:rsidP="00E43020">
            <w:pPr>
              <w:spacing w:after="0"/>
              <w:jc w:val="center"/>
              <w:rPr>
                <w:rFonts w:ascii="Calibri" w:hAnsi="Calibri" w:cs="Calibri"/>
                <w:sz w:val="22"/>
                <w:szCs w:val="22"/>
              </w:rPr>
            </w:pPr>
            <w:r w:rsidRPr="003B7C6A">
              <w:rPr>
                <w:rFonts w:ascii="Calibri" w:hAnsi="Calibri" w:cs="Calibri"/>
                <w:sz w:val="22"/>
                <w:szCs w:val="22"/>
              </w:rPr>
              <w:t>Quartile</w:t>
            </w:r>
          </w:p>
        </w:tc>
        <w:tc>
          <w:tcPr>
            <w:tcW w:w="2500" w:type="pct"/>
          </w:tcPr>
          <w:p w14:paraId="721795E5" w14:textId="4D72138E" w:rsidR="003B7C6A" w:rsidRPr="003B7C6A" w:rsidRDefault="003B7C6A" w:rsidP="00E43020">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B7C6A">
              <w:rPr>
                <w:rFonts w:ascii="Calibri" w:hAnsi="Calibri" w:cs="Calibri"/>
                <w:sz w:val="22"/>
                <w:szCs w:val="22"/>
              </w:rPr>
              <w:t>Point Value</w:t>
            </w:r>
          </w:p>
        </w:tc>
      </w:tr>
      <w:tr w:rsidR="003B7C6A" w:rsidRPr="003B7C6A" w14:paraId="5EDCBC19" w14:textId="77777777" w:rsidTr="003B7C6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00" w:type="pct"/>
          </w:tcPr>
          <w:p w14:paraId="6E5B998A" w14:textId="5528E9F1" w:rsidR="003B7C6A" w:rsidRPr="003B7C6A" w:rsidRDefault="003B7C6A" w:rsidP="00E43020">
            <w:pPr>
              <w:spacing w:after="0"/>
              <w:jc w:val="center"/>
              <w:rPr>
                <w:rFonts w:ascii="Calibri" w:hAnsi="Calibri" w:cs="Calibri"/>
                <w:b w:val="0"/>
                <w:color w:val="000000"/>
                <w:sz w:val="22"/>
                <w:szCs w:val="22"/>
              </w:rPr>
            </w:pPr>
            <w:r>
              <w:rPr>
                <w:rFonts w:ascii="Calibri" w:hAnsi="Calibri" w:cs="Calibri"/>
                <w:b w:val="0"/>
                <w:color w:val="000000"/>
                <w:sz w:val="22"/>
                <w:szCs w:val="22"/>
              </w:rPr>
              <w:t>0</w:t>
            </w:r>
          </w:p>
        </w:tc>
        <w:tc>
          <w:tcPr>
            <w:tcW w:w="2500" w:type="pct"/>
          </w:tcPr>
          <w:p w14:paraId="4B1E2776" w14:textId="776A9286" w:rsidR="003B7C6A" w:rsidRPr="003B7C6A" w:rsidRDefault="003B7C6A" w:rsidP="00E4302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0</w:t>
            </w:r>
          </w:p>
        </w:tc>
      </w:tr>
      <w:tr w:rsidR="003B7C6A" w:rsidRPr="003B7C6A" w14:paraId="2AF0E43A" w14:textId="0DDE6EA7" w:rsidTr="003B7C6A">
        <w:trPr>
          <w:trHeight w:val="286"/>
        </w:trPr>
        <w:tc>
          <w:tcPr>
            <w:cnfStyle w:val="001000000000" w:firstRow="0" w:lastRow="0" w:firstColumn="1" w:lastColumn="0" w:oddVBand="0" w:evenVBand="0" w:oddHBand="0" w:evenHBand="0" w:firstRowFirstColumn="0" w:firstRowLastColumn="0" w:lastRowFirstColumn="0" w:lastRowLastColumn="0"/>
            <w:tcW w:w="2500" w:type="pct"/>
            <w:hideMark/>
          </w:tcPr>
          <w:p w14:paraId="11314A02" w14:textId="77777777" w:rsidR="003B7C6A" w:rsidRPr="003B7C6A" w:rsidRDefault="003B7C6A" w:rsidP="00E43020">
            <w:pPr>
              <w:spacing w:after="0"/>
              <w:jc w:val="center"/>
              <w:rPr>
                <w:rFonts w:ascii="Calibri" w:hAnsi="Calibri" w:cs="Calibri"/>
                <w:b w:val="0"/>
                <w:color w:val="000000"/>
                <w:sz w:val="22"/>
                <w:szCs w:val="22"/>
              </w:rPr>
            </w:pPr>
            <w:r w:rsidRPr="003B7C6A">
              <w:rPr>
                <w:rFonts w:ascii="Calibri" w:hAnsi="Calibri" w:cs="Calibri"/>
                <w:b w:val="0"/>
                <w:color w:val="000000"/>
                <w:sz w:val="22"/>
                <w:szCs w:val="22"/>
              </w:rPr>
              <w:t>1</w:t>
            </w:r>
          </w:p>
        </w:tc>
        <w:tc>
          <w:tcPr>
            <w:tcW w:w="2500" w:type="pct"/>
          </w:tcPr>
          <w:p w14:paraId="2947A4E8" w14:textId="4A86B666" w:rsidR="003B7C6A" w:rsidRPr="003B7C6A" w:rsidRDefault="003B7C6A" w:rsidP="00E4302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0.25</w:t>
            </w:r>
          </w:p>
        </w:tc>
      </w:tr>
      <w:tr w:rsidR="003B7C6A" w:rsidRPr="003B7C6A" w14:paraId="4E2FB6C0" w14:textId="3C8E2083" w:rsidTr="003B7C6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00" w:type="pct"/>
            <w:hideMark/>
          </w:tcPr>
          <w:p w14:paraId="76705311" w14:textId="77777777" w:rsidR="003B7C6A" w:rsidRPr="003B7C6A" w:rsidRDefault="003B7C6A" w:rsidP="00E43020">
            <w:pPr>
              <w:spacing w:after="0"/>
              <w:jc w:val="center"/>
              <w:rPr>
                <w:rFonts w:ascii="Calibri" w:hAnsi="Calibri" w:cs="Calibri"/>
                <w:b w:val="0"/>
                <w:color w:val="000000"/>
                <w:sz w:val="22"/>
                <w:szCs w:val="22"/>
              </w:rPr>
            </w:pPr>
            <w:r w:rsidRPr="003B7C6A">
              <w:rPr>
                <w:rFonts w:ascii="Calibri" w:hAnsi="Calibri" w:cs="Calibri"/>
                <w:b w:val="0"/>
                <w:color w:val="000000"/>
                <w:sz w:val="22"/>
                <w:szCs w:val="22"/>
              </w:rPr>
              <w:t>2</w:t>
            </w:r>
          </w:p>
        </w:tc>
        <w:tc>
          <w:tcPr>
            <w:tcW w:w="2500" w:type="pct"/>
          </w:tcPr>
          <w:p w14:paraId="33821F54" w14:textId="2D1053B4" w:rsidR="003B7C6A" w:rsidRPr="003B7C6A" w:rsidRDefault="003B7C6A" w:rsidP="00E4302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0.5</w:t>
            </w:r>
          </w:p>
        </w:tc>
      </w:tr>
      <w:tr w:rsidR="003B7C6A" w:rsidRPr="003B7C6A" w14:paraId="0D769E1E" w14:textId="21F895E9" w:rsidTr="003B7C6A">
        <w:trPr>
          <w:trHeight w:val="286"/>
        </w:trPr>
        <w:tc>
          <w:tcPr>
            <w:cnfStyle w:val="001000000000" w:firstRow="0" w:lastRow="0" w:firstColumn="1" w:lastColumn="0" w:oddVBand="0" w:evenVBand="0" w:oddHBand="0" w:evenHBand="0" w:firstRowFirstColumn="0" w:firstRowLastColumn="0" w:lastRowFirstColumn="0" w:lastRowLastColumn="0"/>
            <w:tcW w:w="2500" w:type="pct"/>
            <w:hideMark/>
          </w:tcPr>
          <w:p w14:paraId="1782BC18" w14:textId="77777777" w:rsidR="003B7C6A" w:rsidRPr="003B7C6A" w:rsidRDefault="003B7C6A" w:rsidP="00E43020">
            <w:pPr>
              <w:spacing w:after="0"/>
              <w:jc w:val="center"/>
              <w:rPr>
                <w:rFonts w:ascii="Calibri" w:hAnsi="Calibri" w:cs="Calibri"/>
                <w:b w:val="0"/>
                <w:color w:val="000000"/>
                <w:sz w:val="22"/>
                <w:szCs w:val="22"/>
              </w:rPr>
            </w:pPr>
            <w:r w:rsidRPr="003B7C6A">
              <w:rPr>
                <w:rFonts w:ascii="Calibri" w:hAnsi="Calibri" w:cs="Calibri"/>
                <w:b w:val="0"/>
                <w:color w:val="000000"/>
                <w:sz w:val="22"/>
                <w:szCs w:val="22"/>
              </w:rPr>
              <w:t>3</w:t>
            </w:r>
          </w:p>
        </w:tc>
        <w:tc>
          <w:tcPr>
            <w:tcW w:w="2500" w:type="pct"/>
          </w:tcPr>
          <w:p w14:paraId="589BCE8E" w14:textId="7B889645" w:rsidR="003B7C6A" w:rsidRPr="003B7C6A" w:rsidRDefault="003B7C6A" w:rsidP="00E4302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0.75</w:t>
            </w:r>
          </w:p>
        </w:tc>
      </w:tr>
      <w:tr w:rsidR="003B7C6A" w:rsidRPr="003B7C6A" w14:paraId="0557A37F" w14:textId="6C4FFF4A" w:rsidTr="003B7C6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00" w:type="pct"/>
            <w:hideMark/>
          </w:tcPr>
          <w:p w14:paraId="1A9C9D9F" w14:textId="77777777" w:rsidR="003B7C6A" w:rsidRPr="003B7C6A" w:rsidRDefault="003B7C6A" w:rsidP="00E43020">
            <w:pPr>
              <w:spacing w:after="0"/>
              <w:jc w:val="center"/>
              <w:rPr>
                <w:rFonts w:ascii="Calibri" w:hAnsi="Calibri" w:cs="Calibri"/>
                <w:b w:val="0"/>
                <w:color w:val="000000"/>
                <w:sz w:val="22"/>
                <w:szCs w:val="22"/>
              </w:rPr>
            </w:pPr>
            <w:r w:rsidRPr="003B7C6A">
              <w:rPr>
                <w:rFonts w:ascii="Calibri" w:hAnsi="Calibri" w:cs="Calibri"/>
                <w:b w:val="0"/>
                <w:color w:val="000000"/>
                <w:sz w:val="22"/>
                <w:szCs w:val="22"/>
              </w:rPr>
              <w:t>4</w:t>
            </w:r>
          </w:p>
        </w:tc>
        <w:tc>
          <w:tcPr>
            <w:tcW w:w="2500" w:type="pct"/>
          </w:tcPr>
          <w:p w14:paraId="5401B4B0" w14:textId="41F9CE86" w:rsidR="003B7C6A" w:rsidRPr="003B7C6A" w:rsidRDefault="003B7C6A" w:rsidP="00E4302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B7C6A">
              <w:rPr>
                <w:rFonts w:ascii="Calibri" w:hAnsi="Calibri" w:cs="Calibri"/>
                <w:color w:val="000000"/>
                <w:sz w:val="22"/>
                <w:szCs w:val="22"/>
              </w:rPr>
              <w:t>1</w:t>
            </w:r>
          </w:p>
        </w:tc>
      </w:tr>
    </w:tbl>
    <w:p w14:paraId="4582ED93" w14:textId="04B5EA5A" w:rsidR="003B7C6A" w:rsidRDefault="003B7C6A" w:rsidP="00FB06E0"/>
    <w:p w14:paraId="51EC2DC0" w14:textId="0F1F9324" w:rsidR="003B7C6A" w:rsidRDefault="003B7C6A" w:rsidP="00FB06E0">
      <w:r>
        <w:t xml:space="preserve">The Borrower Risk Assignment for each school was then calculated with the following equation. </w:t>
      </w:r>
    </w:p>
    <w:p w14:paraId="5E4971FC" w14:textId="3981F942" w:rsidR="003B7C6A" w:rsidRDefault="003B7C6A" w:rsidP="00FB06E0">
      <m:oMathPara>
        <m:oMath>
          <m:r>
            <w:rPr>
              <w:rFonts w:ascii="Cambria Math" w:eastAsia="Cambria Math" w:hAnsi="Cambria Math" w:cs="Cambria Math"/>
            </w:rPr>
            <m:t>Borrower Risk =</m:t>
          </m:r>
          <m:f>
            <m:fPr>
              <m:ctrlPr>
                <w:rPr>
                  <w:rFonts w:ascii="Cambria Math" w:eastAsia="Cambria Math" w:hAnsi="Cambria Math" w:cs="Cambria Math"/>
                  <w:i/>
                </w:rPr>
              </m:ctrlPr>
            </m:fPr>
            <m:num>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Group Risk</m:t>
                      </m:r>
                    </m:e>
                    <m:sub>
                      <m:r>
                        <w:rPr>
                          <w:rFonts w:ascii="Cambria Math" w:hAnsi="Cambria Math"/>
                        </w:rPr>
                        <m:t>n</m:t>
                      </m:r>
                    </m:sub>
                  </m:sSub>
                </m:e>
              </m:nary>
            </m:num>
            <m:den>
              <m:r>
                <w:rPr>
                  <w:rFonts w:ascii="Cambria Math" w:eastAsia="Cambria Math" w:hAnsi="Cambria Math" w:cs="Cambria Math"/>
                </w:rPr>
                <m:t>n</m:t>
              </m:r>
            </m:den>
          </m:f>
        </m:oMath>
      </m:oMathPara>
    </w:p>
    <w:p w14:paraId="083D949A" w14:textId="4ED54F6C" w:rsidR="00013B62" w:rsidRDefault="00013B62" w:rsidP="00013B62">
      <w:pPr>
        <w:pStyle w:val="Heading3"/>
      </w:pPr>
      <w:r>
        <w:t>Borrower Risk Point Assignment Results</w:t>
      </w:r>
    </w:p>
    <w:p w14:paraId="168C0181" w14:textId="4658460D" w:rsidR="00FB06E0" w:rsidRDefault="00013B62" w:rsidP="00FB06E0">
      <w:r>
        <w:t xml:space="preserve">The distribution of the Borrower Risk Assignment is shown in </w:t>
      </w:r>
      <w:r w:rsidR="004303F1">
        <w:fldChar w:fldCharType="begin"/>
      </w:r>
      <w:r w:rsidR="004303F1">
        <w:instrText xml:space="preserve"> REF _Ref511166449 \h </w:instrText>
      </w:r>
      <w:r w:rsidR="004303F1">
        <w:fldChar w:fldCharType="separate"/>
      </w:r>
      <w:r w:rsidR="00E43020">
        <w:t xml:space="preserve">Figure </w:t>
      </w:r>
      <w:r w:rsidR="00E43020">
        <w:rPr>
          <w:noProof/>
        </w:rPr>
        <w:t>1</w:t>
      </w:r>
      <w:r w:rsidR="004303F1">
        <w:fldChar w:fldCharType="end"/>
      </w:r>
      <w:r>
        <w:t xml:space="preserve">. </w:t>
      </w:r>
    </w:p>
    <w:p w14:paraId="58B350CB" w14:textId="77777777" w:rsidR="00013B62" w:rsidRDefault="00013B62" w:rsidP="00013B62">
      <w:pPr>
        <w:keepNext/>
      </w:pPr>
      <w:r>
        <w:rPr>
          <w:noProof/>
        </w:rPr>
        <mc:AlternateContent>
          <mc:Choice Requires="cx1">
            <w:drawing>
              <wp:inline distT="0" distB="0" distL="0" distR="0" wp14:anchorId="748C3700" wp14:editId="0CDF4A5E">
                <wp:extent cx="5943600" cy="2383155"/>
                <wp:effectExtent l="0" t="0" r="0" b="17145"/>
                <wp:docPr id="1" name="Chart 1">
                  <a:extLst xmlns:a="http://schemas.openxmlformats.org/drawingml/2006/main">
                    <a:ext uri="{FF2B5EF4-FFF2-40B4-BE49-F238E27FC236}">
                      <a16:creationId xmlns:a16="http://schemas.microsoft.com/office/drawing/2014/main" id="{DB087086-C89B-4028-A46C-5B292E7F41F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xmlns:a="http://schemas.openxmlformats.org/drawingml/2006/main" xmlns:a14="http://schemas.microsoft.com/office/drawing/2010/main" xmlns:a16="http://schemas.microsoft.com/office/drawing/2014/main" xmlns:pic="http://schemas.openxmlformats.org/drawingml/2006/picture">
            <w:drawing>
              <wp:inline distT="0" distB="0" distL="0" distR="0" wp14:anchorId="748C3700" wp14:editId="0CDF4A5E">
                <wp:extent cx="5943600" cy="2383155"/>
                <wp:effectExtent l="0" t="0" r="0" b="17145"/>
                <wp:docPr id="1" name="Chart 1">
                  <a:extLst xmlns:a="http://schemas.openxmlformats.org/drawingml/2006/main">
                    <a:ext uri="{FF2B5EF4-FFF2-40B4-BE49-F238E27FC236}">
                      <a16:creationId xmlns:a16="http://schemas.microsoft.com/office/drawing/2014/main" id="{DB087086-C89B-4028-A46C-5B292E7F41F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DB087086-C89B-4028-A46C-5B292E7F41F3}"/>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5943600" cy="2383155"/>
                        </a:xfrm>
                        <a:prstGeom prst="rect">
                          <a:avLst/>
                        </a:prstGeom>
                      </pic:spPr>
                    </pic:pic>
                  </a:graphicData>
                </a:graphic>
              </wp:inline>
            </w:drawing>
          </mc:Fallback>
        </mc:AlternateContent>
      </w:r>
    </w:p>
    <w:p w14:paraId="583A2B6E" w14:textId="2CD215B9" w:rsidR="00013B62" w:rsidRDefault="00013B62" w:rsidP="00013B62">
      <w:pPr>
        <w:pStyle w:val="Caption"/>
      </w:pPr>
      <w:bookmarkStart w:id="5" w:name="_Ref511166449"/>
      <w:r>
        <w:t xml:space="preserve">Figure </w:t>
      </w:r>
      <w:fldSimple w:instr=" SEQ Figure \* ARABIC ">
        <w:r w:rsidR="00E43020">
          <w:rPr>
            <w:noProof/>
          </w:rPr>
          <w:t>1</w:t>
        </w:r>
      </w:fldSimple>
      <w:bookmarkEnd w:id="5"/>
      <w:r>
        <w:t xml:space="preserve">: </w:t>
      </w:r>
      <w:r w:rsidRPr="006B1A66">
        <w:t>Borrower Risk Assignment Distribution</w:t>
      </w:r>
    </w:p>
    <w:p w14:paraId="7A729029" w14:textId="77777777" w:rsidR="00013B62" w:rsidRDefault="00013B62" w:rsidP="00FB06E0"/>
    <w:p w14:paraId="1A49B80C" w14:textId="52901B84" w:rsidR="00013B62" w:rsidRDefault="00013B62" w:rsidP="00FB06E0">
      <w:r>
        <w:t>Quartiles of the Borrower Risk Assignment were used to assign the final classification of Borrower Risk for each school, as shown in Table 7.</w:t>
      </w:r>
    </w:p>
    <w:p w14:paraId="5AE596AA" w14:textId="28F1ECE4" w:rsidR="00013B62" w:rsidRDefault="00013B62" w:rsidP="00013B62">
      <w:pPr>
        <w:pStyle w:val="Caption"/>
        <w:keepNext/>
      </w:pPr>
      <w:r>
        <w:t xml:space="preserve">Table </w:t>
      </w:r>
      <w:fldSimple w:instr=" SEQ Table \* ARABIC ">
        <w:r w:rsidR="00E43020">
          <w:rPr>
            <w:noProof/>
          </w:rPr>
          <w:t>6</w:t>
        </w:r>
      </w:fldSimple>
      <w:r>
        <w:t>: Borrower Classification</w:t>
      </w:r>
    </w:p>
    <w:tbl>
      <w:tblPr>
        <w:tblStyle w:val="GridTable4-Accent1"/>
        <w:tblW w:w="5000" w:type="pct"/>
        <w:tblLook w:val="04A0" w:firstRow="1" w:lastRow="0" w:firstColumn="1" w:lastColumn="0" w:noHBand="0" w:noVBand="1"/>
      </w:tblPr>
      <w:tblGrid>
        <w:gridCol w:w="1681"/>
        <w:gridCol w:w="2626"/>
        <w:gridCol w:w="1681"/>
        <w:gridCol w:w="1793"/>
        <w:gridCol w:w="1569"/>
      </w:tblGrid>
      <w:tr w:rsidR="00013B62" w:rsidRPr="00013B62" w14:paraId="6609AE51" w14:textId="77777777" w:rsidTr="5812CACB">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2B3253AE" w14:textId="77777777" w:rsidR="00013B62" w:rsidRPr="00013B62" w:rsidRDefault="00013B62" w:rsidP="00013B62">
            <w:pPr>
              <w:spacing w:after="0"/>
              <w:jc w:val="center"/>
              <w:rPr>
                <w:rFonts w:ascii="Calibri" w:hAnsi="Calibri" w:cs="Calibri"/>
                <w:sz w:val="22"/>
                <w:szCs w:val="22"/>
              </w:rPr>
            </w:pPr>
            <w:r w:rsidRPr="00013B62">
              <w:rPr>
                <w:rFonts w:ascii="Calibri" w:hAnsi="Calibri" w:cs="Calibri"/>
                <w:sz w:val="22"/>
                <w:szCs w:val="22"/>
              </w:rPr>
              <w:t>Quartile</w:t>
            </w:r>
          </w:p>
        </w:tc>
        <w:tc>
          <w:tcPr>
            <w:tcW w:w="1000" w:type="pct"/>
            <w:noWrap/>
            <w:hideMark/>
          </w:tcPr>
          <w:p w14:paraId="44C0FD7F" w14:textId="6EEE2E92" w:rsidR="00013B62" w:rsidRPr="00013B62" w:rsidRDefault="00013B62" w:rsidP="00013B62">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Borrower Risk Assignment</w:t>
            </w:r>
          </w:p>
        </w:tc>
        <w:tc>
          <w:tcPr>
            <w:tcW w:w="1000" w:type="pct"/>
            <w:noWrap/>
            <w:hideMark/>
          </w:tcPr>
          <w:p w14:paraId="3AC9CF52" w14:textId="77777777" w:rsidR="00013B62" w:rsidRPr="00013B62" w:rsidRDefault="00013B62" w:rsidP="00013B62">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013B62">
              <w:rPr>
                <w:rFonts w:ascii="Calibri" w:hAnsi="Calibri" w:cs="Calibri"/>
                <w:sz w:val="22"/>
                <w:szCs w:val="22"/>
              </w:rPr>
              <w:t>Type</w:t>
            </w:r>
          </w:p>
        </w:tc>
        <w:tc>
          <w:tcPr>
            <w:tcW w:w="1000" w:type="pct"/>
            <w:noWrap/>
            <w:hideMark/>
          </w:tcPr>
          <w:p w14:paraId="6B2362FD" w14:textId="2A75A15B" w:rsidR="00013B62" w:rsidRPr="00013B62" w:rsidRDefault="5812CACB" w:rsidP="5812CACB">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5812CACB">
              <w:rPr>
                <w:rFonts w:ascii="Calibri" w:hAnsi="Calibri" w:cs="Calibri"/>
                <w:sz w:val="22"/>
                <w:szCs w:val="22"/>
              </w:rPr>
              <w:t>Count of Schools </w:t>
            </w:r>
          </w:p>
        </w:tc>
        <w:tc>
          <w:tcPr>
            <w:tcW w:w="1000" w:type="pct"/>
            <w:hideMark/>
          </w:tcPr>
          <w:p w14:paraId="47997AD2" w14:textId="77777777" w:rsidR="00013B62" w:rsidRPr="00013B62" w:rsidRDefault="00013B62" w:rsidP="00013B62">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013B62">
              <w:rPr>
                <w:rFonts w:ascii="Calibri" w:hAnsi="Calibri" w:cs="Calibri"/>
                <w:sz w:val="22"/>
                <w:szCs w:val="22"/>
              </w:rPr>
              <w:t>Note</w:t>
            </w:r>
          </w:p>
        </w:tc>
      </w:tr>
      <w:tr w:rsidR="00013B62" w:rsidRPr="00013B62" w14:paraId="6C4CD458" w14:textId="77777777" w:rsidTr="5812CAC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000" w:type="pct"/>
            <w:hideMark/>
          </w:tcPr>
          <w:p w14:paraId="1C714613" w14:textId="77777777" w:rsidR="00013B62" w:rsidRPr="00013B62" w:rsidRDefault="00013B62" w:rsidP="00013B62">
            <w:pPr>
              <w:spacing w:after="0"/>
              <w:jc w:val="center"/>
              <w:rPr>
                <w:rFonts w:ascii="Calibri" w:hAnsi="Calibri" w:cs="Calibri"/>
                <w:b w:val="0"/>
                <w:color w:val="000000"/>
                <w:sz w:val="22"/>
                <w:szCs w:val="22"/>
              </w:rPr>
            </w:pPr>
            <w:r w:rsidRPr="00013B62">
              <w:rPr>
                <w:rFonts w:ascii="Calibri" w:hAnsi="Calibri" w:cs="Calibri"/>
                <w:b w:val="0"/>
                <w:color w:val="000000"/>
                <w:sz w:val="22"/>
                <w:szCs w:val="22"/>
              </w:rPr>
              <w:t>0</w:t>
            </w:r>
          </w:p>
        </w:tc>
        <w:tc>
          <w:tcPr>
            <w:tcW w:w="1000" w:type="pct"/>
            <w:hideMark/>
          </w:tcPr>
          <w:p w14:paraId="409A08EA" w14:textId="77777777" w:rsidR="00013B62" w:rsidRPr="00013B62" w:rsidRDefault="00013B62" w:rsidP="00013B62">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B62">
              <w:rPr>
                <w:rFonts w:ascii="Calibri" w:hAnsi="Calibri" w:cs="Calibri"/>
                <w:color w:val="000000"/>
                <w:sz w:val="22"/>
                <w:szCs w:val="22"/>
              </w:rPr>
              <w:t>0.125</w:t>
            </w:r>
          </w:p>
        </w:tc>
        <w:tc>
          <w:tcPr>
            <w:tcW w:w="1000" w:type="pct"/>
            <w:hideMark/>
          </w:tcPr>
          <w:p w14:paraId="7054D3D1" w14:textId="77777777" w:rsidR="00013B62" w:rsidRPr="00013B62" w:rsidRDefault="00013B62" w:rsidP="00013B62">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B62">
              <w:rPr>
                <w:rFonts w:ascii="Calibri" w:hAnsi="Calibri" w:cs="Calibri"/>
                <w:color w:val="000000"/>
                <w:sz w:val="22"/>
                <w:szCs w:val="22"/>
              </w:rPr>
              <w:t>No Risk</w:t>
            </w:r>
          </w:p>
        </w:tc>
        <w:tc>
          <w:tcPr>
            <w:tcW w:w="1000" w:type="pct"/>
            <w:noWrap/>
            <w:hideMark/>
          </w:tcPr>
          <w:p w14:paraId="014EFED4" w14:textId="77777777" w:rsidR="00013B62" w:rsidRPr="00013B62" w:rsidRDefault="5812CACB" w:rsidP="5812CACB">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5812CACB">
              <w:rPr>
                <w:rFonts w:ascii="Calibri" w:hAnsi="Calibri" w:cs="Calibri"/>
                <w:color w:val="000000" w:themeColor="text1"/>
                <w:sz w:val="22"/>
                <w:szCs w:val="22"/>
              </w:rPr>
              <w:t>1</w:t>
            </w:r>
          </w:p>
        </w:tc>
        <w:tc>
          <w:tcPr>
            <w:tcW w:w="1000" w:type="pct"/>
            <w:hideMark/>
          </w:tcPr>
          <w:p w14:paraId="4E92AEE8" w14:textId="77777777" w:rsidR="00013B62" w:rsidRPr="00013B62" w:rsidRDefault="00013B62" w:rsidP="00013B62">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B62">
              <w:rPr>
                <w:rFonts w:ascii="Calibri" w:hAnsi="Calibri" w:cs="Calibri"/>
                <w:color w:val="000000"/>
                <w:sz w:val="22"/>
                <w:szCs w:val="22"/>
              </w:rPr>
              <w:t>min</w:t>
            </w:r>
          </w:p>
        </w:tc>
      </w:tr>
      <w:tr w:rsidR="00013B62" w:rsidRPr="00013B62" w14:paraId="5765DB29" w14:textId="77777777" w:rsidTr="5812CACB">
        <w:trPr>
          <w:trHeight w:val="380"/>
        </w:trPr>
        <w:tc>
          <w:tcPr>
            <w:cnfStyle w:val="001000000000" w:firstRow="0" w:lastRow="0" w:firstColumn="1" w:lastColumn="0" w:oddVBand="0" w:evenVBand="0" w:oddHBand="0" w:evenHBand="0" w:firstRowFirstColumn="0" w:firstRowLastColumn="0" w:lastRowFirstColumn="0" w:lastRowLastColumn="0"/>
            <w:tcW w:w="1000" w:type="pct"/>
            <w:hideMark/>
          </w:tcPr>
          <w:p w14:paraId="5A7B2602" w14:textId="77777777" w:rsidR="00013B62" w:rsidRPr="00013B62" w:rsidRDefault="00013B62" w:rsidP="00013B62">
            <w:pPr>
              <w:spacing w:after="0"/>
              <w:jc w:val="center"/>
              <w:rPr>
                <w:rFonts w:ascii="Calibri" w:hAnsi="Calibri" w:cs="Calibri"/>
                <w:b w:val="0"/>
                <w:color w:val="000000"/>
                <w:sz w:val="22"/>
                <w:szCs w:val="22"/>
              </w:rPr>
            </w:pPr>
            <w:r w:rsidRPr="00013B62">
              <w:rPr>
                <w:rFonts w:ascii="Calibri" w:hAnsi="Calibri" w:cs="Calibri"/>
                <w:b w:val="0"/>
                <w:color w:val="000000"/>
                <w:sz w:val="22"/>
                <w:szCs w:val="22"/>
              </w:rPr>
              <w:t>1</w:t>
            </w:r>
          </w:p>
        </w:tc>
        <w:tc>
          <w:tcPr>
            <w:tcW w:w="1000" w:type="pct"/>
            <w:hideMark/>
          </w:tcPr>
          <w:p w14:paraId="416E0640" w14:textId="77777777" w:rsidR="00013B62" w:rsidRPr="00013B62" w:rsidRDefault="00013B62" w:rsidP="00013B62">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B62">
              <w:rPr>
                <w:rFonts w:ascii="Calibri" w:hAnsi="Calibri" w:cs="Calibri"/>
                <w:color w:val="000000"/>
                <w:sz w:val="22"/>
                <w:szCs w:val="22"/>
              </w:rPr>
              <w:t>0.438</w:t>
            </w:r>
          </w:p>
        </w:tc>
        <w:tc>
          <w:tcPr>
            <w:tcW w:w="1000" w:type="pct"/>
            <w:hideMark/>
          </w:tcPr>
          <w:p w14:paraId="34F291D4" w14:textId="77777777" w:rsidR="00013B62" w:rsidRPr="00013B62" w:rsidRDefault="00013B62" w:rsidP="00013B62">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B62">
              <w:rPr>
                <w:rFonts w:ascii="Calibri" w:hAnsi="Calibri" w:cs="Calibri"/>
                <w:color w:val="000000"/>
                <w:sz w:val="22"/>
                <w:szCs w:val="22"/>
              </w:rPr>
              <w:t>Less Risk</w:t>
            </w:r>
          </w:p>
        </w:tc>
        <w:tc>
          <w:tcPr>
            <w:tcW w:w="1000" w:type="pct"/>
            <w:noWrap/>
            <w:hideMark/>
          </w:tcPr>
          <w:p w14:paraId="58D13DEB" w14:textId="77777777" w:rsidR="00013B62" w:rsidRPr="00013B62" w:rsidRDefault="5812CACB" w:rsidP="5812CACB">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5812CACB">
              <w:rPr>
                <w:rFonts w:ascii="Calibri" w:hAnsi="Calibri" w:cs="Calibri"/>
                <w:color w:val="000000" w:themeColor="text1"/>
                <w:sz w:val="22"/>
                <w:szCs w:val="22"/>
              </w:rPr>
              <w:t>1487</w:t>
            </w:r>
          </w:p>
        </w:tc>
        <w:tc>
          <w:tcPr>
            <w:tcW w:w="1000" w:type="pct"/>
            <w:hideMark/>
          </w:tcPr>
          <w:p w14:paraId="6E413A48" w14:textId="77777777" w:rsidR="00013B62" w:rsidRPr="00013B62" w:rsidRDefault="00013B62" w:rsidP="00013B62">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B62">
              <w:rPr>
                <w:rFonts w:ascii="Calibri" w:hAnsi="Calibri" w:cs="Calibri"/>
                <w:color w:val="000000"/>
                <w:sz w:val="22"/>
                <w:szCs w:val="22"/>
              </w:rPr>
              <w:t>25th percentile</w:t>
            </w:r>
          </w:p>
        </w:tc>
      </w:tr>
      <w:tr w:rsidR="00013B62" w:rsidRPr="00013B62" w14:paraId="4F9597F6" w14:textId="77777777" w:rsidTr="5812CAC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000" w:type="pct"/>
            <w:hideMark/>
          </w:tcPr>
          <w:p w14:paraId="7995893C" w14:textId="77777777" w:rsidR="00013B62" w:rsidRPr="00013B62" w:rsidRDefault="00013B62" w:rsidP="00013B62">
            <w:pPr>
              <w:spacing w:after="0"/>
              <w:jc w:val="center"/>
              <w:rPr>
                <w:rFonts w:ascii="Calibri" w:hAnsi="Calibri" w:cs="Calibri"/>
                <w:b w:val="0"/>
                <w:color w:val="000000"/>
                <w:sz w:val="22"/>
                <w:szCs w:val="22"/>
              </w:rPr>
            </w:pPr>
            <w:r w:rsidRPr="00013B62">
              <w:rPr>
                <w:rFonts w:ascii="Calibri" w:hAnsi="Calibri" w:cs="Calibri"/>
                <w:b w:val="0"/>
                <w:color w:val="000000"/>
                <w:sz w:val="22"/>
                <w:szCs w:val="22"/>
              </w:rPr>
              <w:t>2</w:t>
            </w:r>
          </w:p>
        </w:tc>
        <w:tc>
          <w:tcPr>
            <w:tcW w:w="1000" w:type="pct"/>
            <w:hideMark/>
          </w:tcPr>
          <w:p w14:paraId="78BEBEBA" w14:textId="77777777" w:rsidR="00013B62" w:rsidRPr="00013B62" w:rsidRDefault="00013B62" w:rsidP="00013B62">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B62">
              <w:rPr>
                <w:rFonts w:ascii="Calibri" w:hAnsi="Calibri" w:cs="Calibri"/>
                <w:color w:val="000000"/>
                <w:sz w:val="22"/>
                <w:szCs w:val="22"/>
              </w:rPr>
              <w:t>0.563</w:t>
            </w:r>
          </w:p>
        </w:tc>
        <w:tc>
          <w:tcPr>
            <w:tcW w:w="1000" w:type="pct"/>
            <w:hideMark/>
          </w:tcPr>
          <w:p w14:paraId="48A7D031" w14:textId="77777777" w:rsidR="00013B62" w:rsidRPr="00013B62" w:rsidRDefault="00013B62" w:rsidP="00013B62">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B62">
              <w:rPr>
                <w:rFonts w:ascii="Calibri" w:hAnsi="Calibri" w:cs="Calibri"/>
                <w:color w:val="000000"/>
                <w:sz w:val="22"/>
                <w:szCs w:val="22"/>
              </w:rPr>
              <w:t>Moderate Risk</w:t>
            </w:r>
          </w:p>
        </w:tc>
        <w:tc>
          <w:tcPr>
            <w:tcW w:w="1000" w:type="pct"/>
            <w:noWrap/>
            <w:hideMark/>
          </w:tcPr>
          <w:p w14:paraId="68EAD3EC" w14:textId="77777777" w:rsidR="00013B62" w:rsidRPr="00013B62" w:rsidRDefault="5812CACB" w:rsidP="5812CACB">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5812CACB">
              <w:rPr>
                <w:rFonts w:ascii="Calibri" w:hAnsi="Calibri" w:cs="Calibri"/>
                <w:color w:val="000000" w:themeColor="text1"/>
                <w:sz w:val="22"/>
                <w:szCs w:val="22"/>
              </w:rPr>
              <w:t>1169</w:t>
            </w:r>
          </w:p>
        </w:tc>
        <w:tc>
          <w:tcPr>
            <w:tcW w:w="1000" w:type="pct"/>
            <w:hideMark/>
          </w:tcPr>
          <w:p w14:paraId="13D0E2B3" w14:textId="77777777" w:rsidR="00013B62" w:rsidRPr="00013B62" w:rsidRDefault="00013B62" w:rsidP="00013B62">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B62">
              <w:rPr>
                <w:rFonts w:ascii="Calibri" w:hAnsi="Calibri" w:cs="Calibri"/>
                <w:color w:val="000000"/>
                <w:sz w:val="22"/>
                <w:szCs w:val="22"/>
              </w:rPr>
              <w:t>50th percentile</w:t>
            </w:r>
          </w:p>
        </w:tc>
      </w:tr>
      <w:tr w:rsidR="00013B62" w:rsidRPr="00013B62" w14:paraId="402CC704" w14:textId="77777777" w:rsidTr="5812CACB">
        <w:trPr>
          <w:trHeight w:val="380"/>
        </w:trPr>
        <w:tc>
          <w:tcPr>
            <w:cnfStyle w:val="001000000000" w:firstRow="0" w:lastRow="0" w:firstColumn="1" w:lastColumn="0" w:oddVBand="0" w:evenVBand="0" w:oddHBand="0" w:evenHBand="0" w:firstRowFirstColumn="0" w:firstRowLastColumn="0" w:lastRowFirstColumn="0" w:lastRowLastColumn="0"/>
            <w:tcW w:w="1000" w:type="pct"/>
            <w:hideMark/>
          </w:tcPr>
          <w:p w14:paraId="38F39547" w14:textId="77777777" w:rsidR="00013B62" w:rsidRPr="00013B62" w:rsidRDefault="00013B62" w:rsidP="00013B62">
            <w:pPr>
              <w:spacing w:after="0"/>
              <w:jc w:val="center"/>
              <w:rPr>
                <w:rFonts w:ascii="Calibri" w:hAnsi="Calibri" w:cs="Calibri"/>
                <w:b w:val="0"/>
                <w:color w:val="000000"/>
                <w:sz w:val="22"/>
                <w:szCs w:val="22"/>
              </w:rPr>
            </w:pPr>
            <w:r w:rsidRPr="00013B62">
              <w:rPr>
                <w:rFonts w:ascii="Calibri" w:hAnsi="Calibri" w:cs="Calibri"/>
                <w:b w:val="0"/>
                <w:color w:val="000000"/>
                <w:sz w:val="22"/>
                <w:szCs w:val="22"/>
              </w:rPr>
              <w:t>3</w:t>
            </w:r>
          </w:p>
        </w:tc>
        <w:tc>
          <w:tcPr>
            <w:tcW w:w="1000" w:type="pct"/>
            <w:hideMark/>
          </w:tcPr>
          <w:p w14:paraId="73B2A79F" w14:textId="77777777" w:rsidR="00013B62" w:rsidRPr="00013B62" w:rsidRDefault="00013B62" w:rsidP="00013B62">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B62">
              <w:rPr>
                <w:rFonts w:ascii="Calibri" w:hAnsi="Calibri" w:cs="Calibri"/>
                <w:color w:val="000000"/>
                <w:sz w:val="22"/>
                <w:szCs w:val="22"/>
              </w:rPr>
              <w:t>0.688</w:t>
            </w:r>
          </w:p>
        </w:tc>
        <w:tc>
          <w:tcPr>
            <w:tcW w:w="1000" w:type="pct"/>
            <w:hideMark/>
          </w:tcPr>
          <w:p w14:paraId="27D56F02" w14:textId="77777777" w:rsidR="00013B62" w:rsidRPr="00013B62" w:rsidRDefault="00013B62" w:rsidP="00013B62">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B62">
              <w:rPr>
                <w:rFonts w:ascii="Calibri" w:hAnsi="Calibri" w:cs="Calibri"/>
                <w:color w:val="000000"/>
                <w:sz w:val="22"/>
                <w:szCs w:val="22"/>
              </w:rPr>
              <w:t>More Risk</w:t>
            </w:r>
          </w:p>
        </w:tc>
        <w:tc>
          <w:tcPr>
            <w:tcW w:w="1000" w:type="pct"/>
            <w:noWrap/>
            <w:hideMark/>
          </w:tcPr>
          <w:p w14:paraId="42105719" w14:textId="77777777" w:rsidR="00013B62" w:rsidRPr="00013B62" w:rsidRDefault="5812CACB" w:rsidP="5812CACB">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5812CACB">
              <w:rPr>
                <w:rFonts w:ascii="Calibri" w:hAnsi="Calibri" w:cs="Calibri"/>
                <w:color w:val="000000" w:themeColor="text1"/>
                <w:sz w:val="22"/>
                <w:szCs w:val="22"/>
              </w:rPr>
              <w:t>1352</w:t>
            </w:r>
          </w:p>
        </w:tc>
        <w:tc>
          <w:tcPr>
            <w:tcW w:w="1000" w:type="pct"/>
            <w:hideMark/>
          </w:tcPr>
          <w:p w14:paraId="07EA3CD7" w14:textId="77777777" w:rsidR="00013B62" w:rsidRPr="00013B62" w:rsidRDefault="00013B62" w:rsidP="00013B62">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B62">
              <w:rPr>
                <w:rFonts w:ascii="Calibri" w:hAnsi="Calibri" w:cs="Calibri"/>
                <w:color w:val="000000"/>
                <w:sz w:val="22"/>
                <w:szCs w:val="22"/>
              </w:rPr>
              <w:t>75th percentile</w:t>
            </w:r>
          </w:p>
        </w:tc>
      </w:tr>
      <w:tr w:rsidR="00013B62" w:rsidRPr="00013B62" w14:paraId="6C78857C" w14:textId="77777777" w:rsidTr="5812CAC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000" w:type="pct"/>
            <w:hideMark/>
          </w:tcPr>
          <w:p w14:paraId="10DBC62A" w14:textId="77777777" w:rsidR="00013B62" w:rsidRPr="00013B62" w:rsidRDefault="00013B62" w:rsidP="00013B62">
            <w:pPr>
              <w:spacing w:after="0"/>
              <w:jc w:val="center"/>
              <w:rPr>
                <w:rFonts w:ascii="Calibri" w:hAnsi="Calibri" w:cs="Calibri"/>
                <w:b w:val="0"/>
                <w:color w:val="000000"/>
                <w:sz w:val="22"/>
                <w:szCs w:val="22"/>
              </w:rPr>
            </w:pPr>
            <w:r w:rsidRPr="00013B62">
              <w:rPr>
                <w:rFonts w:ascii="Calibri" w:hAnsi="Calibri" w:cs="Calibri"/>
                <w:b w:val="0"/>
                <w:color w:val="000000"/>
                <w:sz w:val="22"/>
                <w:szCs w:val="22"/>
              </w:rPr>
              <w:t>4</w:t>
            </w:r>
          </w:p>
        </w:tc>
        <w:tc>
          <w:tcPr>
            <w:tcW w:w="1000" w:type="pct"/>
            <w:hideMark/>
          </w:tcPr>
          <w:p w14:paraId="5A4DE756" w14:textId="77777777" w:rsidR="00013B62" w:rsidRPr="00013B62" w:rsidRDefault="00013B62" w:rsidP="00013B62">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B62">
              <w:rPr>
                <w:rFonts w:ascii="Calibri" w:hAnsi="Calibri" w:cs="Calibri"/>
                <w:color w:val="000000"/>
                <w:sz w:val="22"/>
                <w:szCs w:val="22"/>
              </w:rPr>
              <w:t>1</w:t>
            </w:r>
          </w:p>
        </w:tc>
        <w:tc>
          <w:tcPr>
            <w:tcW w:w="1000" w:type="pct"/>
            <w:hideMark/>
          </w:tcPr>
          <w:p w14:paraId="79B0C347" w14:textId="77777777" w:rsidR="00013B62" w:rsidRPr="00013B62" w:rsidRDefault="00013B62" w:rsidP="00013B62">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B62">
              <w:rPr>
                <w:rFonts w:ascii="Calibri" w:hAnsi="Calibri" w:cs="Calibri"/>
                <w:color w:val="000000"/>
                <w:sz w:val="22"/>
                <w:szCs w:val="22"/>
              </w:rPr>
              <w:t>Most Risk</w:t>
            </w:r>
          </w:p>
        </w:tc>
        <w:tc>
          <w:tcPr>
            <w:tcW w:w="1000" w:type="pct"/>
            <w:noWrap/>
            <w:hideMark/>
          </w:tcPr>
          <w:p w14:paraId="0D40705C" w14:textId="77777777" w:rsidR="00013B62" w:rsidRPr="00013B62" w:rsidRDefault="5812CACB" w:rsidP="5812CACB">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5812CACB">
              <w:rPr>
                <w:rFonts w:ascii="Calibri" w:hAnsi="Calibri" w:cs="Calibri"/>
                <w:color w:val="000000" w:themeColor="text1"/>
                <w:sz w:val="22"/>
                <w:szCs w:val="22"/>
              </w:rPr>
              <w:t>988</w:t>
            </w:r>
          </w:p>
        </w:tc>
        <w:tc>
          <w:tcPr>
            <w:tcW w:w="1000" w:type="pct"/>
            <w:hideMark/>
          </w:tcPr>
          <w:p w14:paraId="7C232CBF" w14:textId="77777777" w:rsidR="00013B62" w:rsidRPr="00013B62" w:rsidRDefault="00013B62" w:rsidP="00013B62">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B62">
              <w:rPr>
                <w:rFonts w:ascii="Calibri" w:hAnsi="Calibri" w:cs="Calibri"/>
                <w:color w:val="000000"/>
                <w:sz w:val="22"/>
                <w:szCs w:val="22"/>
              </w:rPr>
              <w:t>max</w:t>
            </w:r>
          </w:p>
        </w:tc>
      </w:tr>
    </w:tbl>
    <w:p w14:paraId="2EAA5CEE" w14:textId="77777777" w:rsidR="00013B62" w:rsidRPr="00FB06E0" w:rsidRDefault="00013B62" w:rsidP="00FB06E0"/>
    <w:p w14:paraId="24001978" w14:textId="626D7E2C" w:rsidR="00FB06E0" w:rsidRPr="00FB06E0" w:rsidRDefault="00FB06E0" w:rsidP="00FB06E0">
      <w:pPr>
        <w:pStyle w:val="Heading3"/>
      </w:pPr>
    </w:p>
    <w:p w14:paraId="02D29591" w14:textId="76004C2A" w:rsidR="00DC5F48" w:rsidRDefault="1333B14D" w:rsidP="1333B14D">
      <w:pPr>
        <w:pStyle w:val="Heading2"/>
        <w:spacing w:before="0" w:after="0"/>
      </w:pPr>
      <w:r>
        <w:t>Predictive Reasoning Capability Measurements</w:t>
      </w:r>
    </w:p>
    <w:p w14:paraId="2283D05D" w14:textId="77777777" w:rsidR="003E5224" w:rsidRDefault="003E5224" w:rsidP="003E5224">
      <w:r>
        <w:t>Using the repayment risk calculated above, the next step is to use linear regression to visualize the relationship between risk and the following attributes:</w:t>
      </w:r>
    </w:p>
    <w:p w14:paraId="35DD3AAC" w14:textId="77777777" w:rsidR="003E5224" w:rsidRDefault="003E5224" w:rsidP="003E5224">
      <w:pPr>
        <w:pStyle w:val="ListParagraph"/>
        <w:numPr>
          <w:ilvl w:val="0"/>
          <w:numId w:val="17"/>
        </w:numPr>
      </w:pPr>
      <w:r w:rsidRPr="00D16169">
        <w:t>% Completions Any School</w:t>
      </w:r>
    </w:p>
    <w:p w14:paraId="03209A3D" w14:textId="77777777" w:rsidR="003E5224" w:rsidRDefault="003E5224" w:rsidP="003E5224">
      <w:pPr>
        <w:pStyle w:val="ListParagraph"/>
        <w:numPr>
          <w:ilvl w:val="0"/>
          <w:numId w:val="17"/>
        </w:numPr>
      </w:pPr>
      <w:r w:rsidRPr="00D16169">
        <w:t xml:space="preserve">% Completions Same </w:t>
      </w:r>
      <w:r>
        <w:t>School</w:t>
      </w:r>
    </w:p>
    <w:p w14:paraId="14C9C55E" w14:textId="77777777" w:rsidR="003E5224" w:rsidRDefault="003E5224" w:rsidP="003E5224">
      <w:pPr>
        <w:pStyle w:val="ListParagraph"/>
        <w:numPr>
          <w:ilvl w:val="0"/>
          <w:numId w:val="17"/>
        </w:numPr>
      </w:pPr>
      <w:r w:rsidRPr="00D16169">
        <w:t>% Independent Borrower Count</w:t>
      </w:r>
    </w:p>
    <w:p w14:paraId="1BA56B43" w14:textId="77777777" w:rsidR="003E5224" w:rsidRDefault="003E5224" w:rsidP="003E5224">
      <w:pPr>
        <w:pStyle w:val="ListParagraph"/>
        <w:numPr>
          <w:ilvl w:val="0"/>
          <w:numId w:val="17"/>
        </w:numPr>
      </w:pPr>
      <w:r w:rsidRPr="00D16169">
        <w:t>% Dependent Borrower Count</w:t>
      </w:r>
    </w:p>
    <w:p w14:paraId="3410B817" w14:textId="77777777" w:rsidR="003E5224" w:rsidRDefault="003E5224" w:rsidP="003E5224">
      <w:pPr>
        <w:pStyle w:val="ListParagraph"/>
        <w:numPr>
          <w:ilvl w:val="0"/>
          <w:numId w:val="17"/>
        </w:numPr>
      </w:pPr>
      <w:r w:rsidRPr="00D16169">
        <w:t>Median Independent Student AGI</w:t>
      </w:r>
    </w:p>
    <w:p w14:paraId="00732087" w14:textId="77777777" w:rsidR="003E5224" w:rsidRDefault="003E5224" w:rsidP="003E5224">
      <w:pPr>
        <w:pStyle w:val="ListParagraph"/>
        <w:numPr>
          <w:ilvl w:val="0"/>
          <w:numId w:val="17"/>
        </w:numPr>
      </w:pPr>
      <w:r w:rsidRPr="00D16169">
        <w:t>% Independent Borrowers with AGI &lt; $30K</w:t>
      </w:r>
    </w:p>
    <w:p w14:paraId="5BB38A2C" w14:textId="77777777" w:rsidR="003E5224" w:rsidRDefault="003E5224" w:rsidP="003E5224">
      <w:pPr>
        <w:pStyle w:val="ListParagraph"/>
        <w:numPr>
          <w:ilvl w:val="0"/>
          <w:numId w:val="17"/>
        </w:numPr>
      </w:pPr>
      <w:r w:rsidRPr="00D16169">
        <w:t>Median Dependent Parent AGI</w:t>
      </w:r>
    </w:p>
    <w:p w14:paraId="11C89D7E" w14:textId="77777777" w:rsidR="003E5224" w:rsidRDefault="003E5224" w:rsidP="003E5224">
      <w:pPr>
        <w:pStyle w:val="ListParagraph"/>
        <w:numPr>
          <w:ilvl w:val="0"/>
          <w:numId w:val="17"/>
        </w:numPr>
      </w:pPr>
      <w:r w:rsidRPr="00D16169">
        <w:t>% Dependent Borrowers with AGI &lt; $30K</w:t>
      </w:r>
    </w:p>
    <w:p w14:paraId="584EB21B" w14:textId="77777777" w:rsidR="003E5224" w:rsidRDefault="003E5224" w:rsidP="003E5224">
      <w:pPr>
        <w:pStyle w:val="ListParagraph"/>
        <w:numPr>
          <w:ilvl w:val="0"/>
          <w:numId w:val="17"/>
        </w:numPr>
      </w:pPr>
      <w:r w:rsidRPr="00D16169">
        <w:t>% Borrowers with a Pell Grant</w:t>
      </w:r>
    </w:p>
    <w:p w14:paraId="5E138CA6" w14:textId="77777777" w:rsidR="003E5224" w:rsidRDefault="003E5224" w:rsidP="003E5224">
      <w:pPr>
        <w:pStyle w:val="ListParagraph"/>
        <w:numPr>
          <w:ilvl w:val="0"/>
          <w:numId w:val="17"/>
        </w:numPr>
      </w:pPr>
      <w:r w:rsidRPr="00D16169">
        <w:t>Median Age of Dependent Borrowers at Maturity</w:t>
      </w:r>
    </w:p>
    <w:p w14:paraId="2F07AA27" w14:textId="77777777" w:rsidR="003E5224" w:rsidRDefault="003E5224" w:rsidP="003E5224">
      <w:pPr>
        <w:pStyle w:val="ListParagraph"/>
        <w:numPr>
          <w:ilvl w:val="0"/>
          <w:numId w:val="17"/>
        </w:numPr>
      </w:pPr>
      <w:r w:rsidRPr="00D16169">
        <w:t>Median Age of Independent Borrowers at Maturity</w:t>
      </w:r>
    </w:p>
    <w:p w14:paraId="54175895" w14:textId="77777777" w:rsidR="003E5224" w:rsidRDefault="003E5224" w:rsidP="003E5224">
      <w:pPr>
        <w:pStyle w:val="ListParagraph"/>
        <w:numPr>
          <w:ilvl w:val="0"/>
          <w:numId w:val="17"/>
        </w:numPr>
      </w:pPr>
      <w:r w:rsidRPr="00D16169">
        <w:t>Mean Balance</w:t>
      </w:r>
    </w:p>
    <w:p w14:paraId="1EAE31BC" w14:textId="77777777" w:rsidR="003E5224" w:rsidRPr="00D16169" w:rsidRDefault="003E5224" w:rsidP="003E5224">
      <w:pPr>
        <w:pStyle w:val="ListParagraph"/>
        <w:numPr>
          <w:ilvl w:val="0"/>
          <w:numId w:val="17"/>
        </w:numPr>
      </w:pPr>
      <w:r w:rsidRPr="00D16169">
        <w:t>Median Balance</w:t>
      </w:r>
    </w:p>
    <w:p w14:paraId="0476EF7B" w14:textId="77777777" w:rsidR="003E5224" w:rsidRPr="003E5224" w:rsidRDefault="003E5224" w:rsidP="003E5224">
      <w:pPr>
        <w:rPr>
          <w:highlight w:val="yellow"/>
        </w:rPr>
      </w:pPr>
    </w:p>
    <w:p w14:paraId="18C8A0EF" w14:textId="43F8E717" w:rsidR="00DC5F48" w:rsidRDefault="00DC5F48" w:rsidP="00DC5F48">
      <w:pPr>
        <w:pStyle w:val="Heading3"/>
      </w:pPr>
      <w:r w:rsidRPr="00DC5F48">
        <w:t>Correlation Analysis</w:t>
      </w:r>
    </w:p>
    <w:p w14:paraId="08C1FAD0" w14:textId="7C61A444" w:rsidR="003E5224" w:rsidRDefault="003E5224" w:rsidP="003E5224">
      <w:r>
        <w:t>After completing the classification of repayment risk, a correlation analysis was completed on the attributes listed above in the dataset. The attributes with moderate positive correlation were:</w:t>
      </w:r>
    </w:p>
    <w:p w14:paraId="14BFA474" w14:textId="77777777" w:rsidR="003E5224" w:rsidRDefault="003E5224" w:rsidP="003E5224">
      <w:pPr>
        <w:pStyle w:val="ListParagraph"/>
        <w:numPr>
          <w:ilvl w:val="0"/>
          <w:numId w:val="18"/>
        </w:numPr>
      </w:pPr>
      <w:r w:rsidRPr="00DB7CAF">
        <w:t>Median Dependent Parent AGI</w:t>
      </w:r>
    </w:p>
    <w:p w14:paraId="1714B409" w14:textId="77777777" w:rsidR="003E5224" w:rsidRDefault="003E5224" w:rsidP="003E5224">
      <w:pPr>
        <w:pStyle w:val="ListParagraph"/>
        <w:numPr>
          <w:ilvl w:val="1"/>
          <w:numId w:val="18"/>
        </w:numPr>
      </w:pPr>
      <w:r w:rsidRPr="00DB7CAF">
        <w:lastRenderedPageBreak/>
        <w:t>R-Value = 0.39</w:t>
      </w:r>
    </w:p>
    <w:p w14:paraId="104B7219" w14:textId="77777777" w:rsidR="003E5224" w:rsidRPr="00F21DAD" w:rsidRDefault="003E5224" w:rsidP="003E5224">
      <w:pPr>
        <w:pStyle w:val="ListParagraph"/>
        <w:numPr>
          <w:ilvl w:val="0"/>
          <w:numId w:val="18"/>
        </w:numPr>
      </w:pPr>
      <w:r>
        <w:t>% Borrowers without a Pell Grant</w:t>
      </w:r>
    </w:p>
    <w:p w14:paraId="3964DEBB" w14:textId="77777777" w:rsidR="003E5224" w:rsidRPr="00F21DAD" w:rsidRDefault="003E5224" w:rsidP="003E5224">
      <w:pPr>
        <w:pStyle w:val="ListParagraph"/>
        <w:numPr>
          <w:ilvl w:val="1"/>
          <w:numId w:val="18"/>
        </w:numPr>
      </w:pPr>
      <w:r>
        <w:t>R-Value = 0.47</w:t>
      </w:r>
    </w:p>
    <w:p w14:paraId="6DC187DE" w14:textId="3D239FC2" w:rsidR="003E5224" w:rsidRDefault="004303F1" w:rsidP="003E5224">
      <w:pPr>
        <w:spacing w:after="0"/>
      </w:pPr>
      <w:r>
        <w:fldChar w:fldCharType="begin"/>
      </w:r>
      <w:r>
        <w:instrText xml:space="preserve"> REF _Ref511166518 \h </w:instrText>
      </w:r>
      <w:r>
        <w:fldChar w:fldCharType="separate"/>
      </w:r>
      <w:r w:rsidR="00E43020">
        <w:t xml:space="preserve">Figure </w:t>
      </w:r>
      <w:r w:rsidR="00E43020">
        <w:rPr>
          <w:noProof/>
        </w:rPr>
        <w:t>2</w:t>
      </w:r>
      <w:r>
        <w:fldChar w:fldCharType="end"/>
      </w:r>
      <w:r>
        <w:t xml:space="preserve"> and </w:t>
      </w:r>
      <w:r>
        <w:fldChar w:fldCharType="begin"/>
      </w:r>
      <w:r>
        <w:instrText xml:space="preserve"> REF _Ref511166559 \h </w:instrText>
      </w:r>
      <w:r>
        <w:fldChar w:fldCharType="separate"/>
      </w:r>
      <w:r w:rsidR="00E43020">
        <w:t xml:space="preserve">Figure </w:t>
      </w:r>
      <w:r w:rsidR="00E43020">
        <w:rPr>
          <w:noProof/>
        </w:rPr>
        <w:t>3</w:t>
      </w:r>
      <w:r>
        <w:fldChar w:fldCharType="end"/>
      </w:r>
      <w:r w:rsidR="003E5224" w:rsidRPr="00F21DAD">
        <w:t xml:space="preserve"> are scatter plots with trendlines of the calculated risk vs </w:t>
      </w:r>
      <w:r w:rsidR="003E5224">
        <w:t>Median Dependent Parent AGI and % Borrowers without a Pell Grant respectively.</w:t>
      </w:r>
    </w:p>
    <w:p w14:paraId="34864AFB" w14:textId="77777777" w:rsidR="003E5224" w:rsidRDefault="003E5224" w:rsidP="003E5224">
      <w:pPr>
        <w:spacing w:after="0"/>
      </w:pPr>
    </w:p>
    <w:p w14:paraId="74CD031F" w14:textId="77777777" w:rsidR="004303F1" w:rsidRDefault="003E5224" w:rsidP="004303F1">
      <w:pPr>
        <w:keepNext/>
        <w:spacing w:after="0"/>
        <w:jc w:val="center"/>
      </w:pPr>
      <w:r>
        <w:rPr>
          <w:noProof/>
        </w:rPr>
        <w:drawing>
          <wp:inline distT="0" distB="0" distL="0" distR="0" wp14:anchorId="6D59E84D" wp14:editId="6344208F">
            <wp:extent cx="4072503" cy="2754929"/>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6119" cy="2777669"/>
                    </a:xfrm>
                    <a:prstGeom prst="rect">
                      <a:avLst/>
                    </a:prstGeom>
                  </pic:spPr>
                </pic:pic>
              </a:graphicData>
            </a:graphic>
          </wp:inline>
        </w:drawing>
      </w:r>
    </w:p>
    <w:p w14:paraId="1EF7586D" w14:textId="67DBFA88" w:rsidR="003E5224" w:rsidRDefault="004303F1" w:rsidP="004303F1">
      <w:pPr>
        <w:pStyle w:val="Caption"/>
      </w:pPr>
      <w:bookmarkStart w:id="6" w:name="_Ref511166518"/>
      <w:r>
        <w:t xml:space="preserve">Figure </w:t>
      </w:r>
      <w:fldSimple w:instr=" SEQ Figure \* ARABIC ">
        <w:r w:rsidR="00E43020">
          <w:rPr>
            <w:noProof/>
          </w:rPr>
          <w:t>2</w:t>
        </w:r>
      </w:fldSimple>
      <w:bookmarkEnd w:id="6"/>
      <w:r>
        <w:t>: Risk Factor vs Median Dependent Parent AGI</w:t>
      </w:r>
    </w:p>
    <w:p w14:paraId="3C1E2719" w14:textId="418A99E0" w:rsidR="003E5224" w:rsidRDefault="003E5224" w:rsidP="003E5224"/>
    <w:p w14:paraId="6BCEABA4" w14:textId="77777777" w:rsidR="003E5224" w:rsidRDefault="003E5224" w:rsidP="003E5224">
      <w:pPr>
        <w:keepNext/>
        <w:jc w:val="center"/>
      </w:pPr>
      <w:r>
        <w:rPr>
          <w:noProof/>
        </w:rPr>
        <w:drawing>
          <wp:inline distT="0" distB="0" distL="0" distR="0" wp14:anchorId="6AA3C22A" wp14:editId="22CAD4F4">
            <wp:extent cx="4115427" cy="2871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6096" cy="2920778"/>
                    </a:xfrm>
                    <a:prstGeom prst="rect">
                      <a:avLst/>
                    </a:prstGeom>
                  </pic:spPr>
                </pic:pic>
              </a:graphicData>
            </a:graphic>
          </wp:inline>
        </w:drawing>
      </w:r>
    </w:p>
    <w:p w14:paraId="729BB04E" w14:textId="6DCE97D0" w:rsidR="003E5224" w:rsidRPr="00F21DAD" w:rsidRDefault="004303F1" w:rsidP="004303F1">
      <w:pPr>
        <w:pStyle w:val="Caption"/>
      </w:pPr>
      <w:bookmarkStart w:id="7" w:name="_Ref511166559"/>
      <w:r>
        <w:t xml:space="preserve">Figure </w:t>
      </w:r>
      <w:fldSimple w:instr=" SEQ Figure \* ARABIC ">
        <w:r w:rsidR="00E43020">
          <w:rPr>
            <w:noProof/>
          </w:rPr>
          <w:t>3</w:t>
        </w:r>
      </w:fldSimple>
      <w:bookmarkEnd w:id="7"/>
      <w:r>
        <w:t>: Risk Factor vs %Borrowers without a Pell Grant</w:t>
      </w:r>
    </w:p>
    <w:p w14:paraId="59C798BF" w14:textId="77777777" w:rsidR="003E5224" w:rsidRDefault="003E5224" w:rsidP="003E5224">
      <w:pPr>
        <w:spacing w:after="0"/>
        <w:rPr>
          <w:rFonts w:ascii="Calibri" w:hAnsi="Calibri"/>
          <w:sz w:val="22"/>
          <w:szCs w:val="22"/>
        </w:rPr>
      </w:pPr>
    </w:p>
    <w:p w14:paraId="593BAD54" w14:textId="77777777" w:rsidR="003E5224" w:rsidRDefault="003E5224" w:rsidP="003E5224">
      <w:pPr>
        <w:spacing w:after="0"/>
      </w:pPr>
      <w:r w:rsidRPr="00572A08">
        <w:lastRenderedPageBreak/>
        <w:t>Attributes with a very weak positive correlation were:</w:t>
      </w:r>
    </w:p>
    <w:p w14:paraId="61755677" w14:textId="77777777" w:rsidR="003E5224" w:rsidRPr="00572A08" w:rsidRDefault="003E5224" w:rsidP="003E5224">
      <w:pPr>
        <w:spacing w:after="0"/>
      </w:pPr>
    </w:p>
    <w:p w14:paraId="6D830319" w14:textId="77777777" w:rsidR="003E5224" w:rsidRPr="00572A08" w:rsidRDefault="003E5224" w:rsidP="003E5224">
      <w:pPr>
        <w:numPr>
          <w:ilvl w:val="0"/>
          <w:numId w:val="19"/>
        </w:numPr>
        <w:spacing w:after="0"/>
      </w:pPr>
      <w:r>
        <w:t>% Dependent Borrower Count</w:t>
      </w:r>
    </w:p>
    <w:p w14:paraId="561AB730" w14:textId="77777777" w:rsidR="003E5224" w:rsidRPr="00572A08" w:rsidRDefault="003E5224" w:rsidP="003E5224">
      <w:pPr>
        <w:numPr>
          <w:ilvl w:val="1"/>
          <w:numId w:val="19"/>
        </w:numPr>
        <w:spacing w:after="0"/>
      </w:pPr>
      <w:r>
        <w:t>R-Value = 0.21</w:t>
      </w:r>
    </w:p>
    <w:p w14:paraId="59F295DC" w14:textId="77777777" w:rsidR="003E5224" w:rsidRPr="00572A08" w:rsidRDefault="003E5224" w:rsidP="003E5224">
      <w:pPr>
        <w:numPr>
          <w:ilvl w:val="0"/>
          <w:numId w:val="19"/>
        </w:numPr>
        <w:spacing w:after="0"/>
      </w:pPr>
      <w:r>
        <w:t>Mean Balance</w:t>
      </w:r>
    </w:p>
    <w:p w14:paraId="4A6C0891" w14:textId="77777777" w:rsidR="003E5224" w:rsidRDefault="003E5224" w:rsidP="003E5224">
      <w:pPr>
        <w:numPr>
          <w:ilvl w:val="1"/>
          <w:numId w:val="19"/>
        </w:numPr>
        <w:spacing w:after="0"/>
      </w:pPr>
      <w:r>
        <w:t>R-Value = 0.22</w:t>
      </w:r>
    </w:p>
    <w:p w14:paraId="2D916EE1" w14:textId="77777777" w:rsidR="003E5224" w:rsidRDefault="003E5224" w:rsidP="003E5224">
      <w:pPr>
        <w:spacing w:after="0"/>
        <w:ind w:left="1440"/>
      </w:pPr>
    </w:p>
    <w:p w14:paraId="3F577D2A" w14:textId="231A3AFD" w:rsidR="003E5224" w:rsidRDefault="004303F1" w:rsidP="003E5224">
      <w:pPr>
        <w:spacing w:after="0"/>
      </w:pPr>
      <w:r>
        <w:fldChar w:fldCharType="begin"/>
      </w:r>
      <w:r>
        <w:instrText xml:space="preserve"> REF _Ref511166647 \h </w:instrText>
      </w:r>
      <w:r>
        <w:fldChar w:fldCharType="separate"/>
      </w:r>
      <w:r w:rsidR="00E43020">
        <w:t xml:space="preserve">Figure </w:t>
      </w:r>
      <w:r w:rsidR="00E43020">
        <w:rPr>
          <w:noProof/>
        </w:rPr>
        <w:t>4</w:t>
      </w:r>
      <w:r>
        <w:fldChar w:fldCharType="end"/>
      </w:r>
      <w:r>
        <w:t xml:space="preserve"> </w:t>
      </w:r>
      <w:r w:rsidR="003E5224">
        <w:t xml:space="preserve">and </w:t>
      </w:r>
      <w:r>
        <w:fldChar w:fldCharType="begin"/>
      </w:r>
      <w:r>
        <w:instrText xml:space="preserve"> REF _Ref511166659 \h </w:instrText>
      </w:r>
      <w:r>
        <w:fldChar w:fldCharType="separate"/>
      </w:r>
      <w:r w:rsidR="00E43020">
        <w:t xml:space="preserve">Figure </w:t>
      </w:r>
      <w:r w:rsidR="00E43020">
        <w:rPr>
          <w:noProof/>
        </w:rPr>
        <w:t>5</w:t>
      </w:r>
      <w:r>
        <w:fldChar w:fldCharType="end"/>
      </w:r>
      <w:r w:rsidR="003E5224" w:rsidRPr="00F21DAD">
        <w:t xml:space="preserve"> are scatter plots with trend</w:t>
      </w:r>
      <w:r w:rsidR="003E5224">
        <w:t xml:space="preserve">lines of the calculated risk vs % Dependent </w:t>
      </w:r>
      <w:r w:rsidR="003E5224" w:rsidRPr="00F21DAD">
        <w:t>Borrower Count</w:t>
      </w:r>
      <w:r w:rsidR="003E5224">
        <w:t xml:space="preserve"> and Mean Balance respectively.</w:t>
      </w:r>
    </w:p>
    <w:p w14:paraId="5BD6C546" w14:textId="4CC598E5" w:rsidR="003E5224" w:rsidRDefault="003E5224" w:rsidP="003E5224">
      <w:pPr>
        <w:spacing w:after="0"/>
      </w:pPr>
    </w:p>
    <w:p w14:paraId="45732B4F" w14:textId="381157FF" w:rsidR="004303F1" w:rsidRDefault="003E5224" w:rsidP="003E5224">
      <w:pPr>
        <w:keepNext/>
        <w:spacing w:after="0"/>
        <w:jc w:val="center"/>
      </w:pPr>
      <w:r>
        <w:rPr>
          <w:noProof/>
        </w:rPr>
        <w:drawing>
          <wp:inline distT="0" distB="0" distL="0" distR="0" wp14:anchorId="2BA8C1B5" wp14:editId="093837E9">
            <wp:extent cx="4057650" cy="2826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9341" cy="2862806"/>
                    </a:xfrm>
                    <a:prstGeom prst="rect">
                      <a:avLst/>
                    </a:prstGeom>
                  </pic:spPr>
                </pic:pic>
              </a:graphicData>
            </a:graphic>
          </wp:inline>
        </w:drawing>
      </w:r>
    </w:p>
    <w:p w14:paraId="4BED041D" w14:textId="3877E984" w:rsidR="004303F1" w:rsidRPr="004303F1" w:rsidRDefault="004303F1" w:rsidP="004303F1">
      <w:pPr>
        <w:pStyle w:val="Caption"/>
      </w:pPr>
      <w:bookmarkStart w:id="8" w:name="_Ref511166647"/>
      <w:r>
        <w:t xml:space="preserve">Figure </w:t>
      </w:r>
      <w:fldSimple w:instr=" SEQ Figure \* ARABIC ">
        <w:r w:rsidR="00E43020">
          <w:rPr>
            <w:noProof/>
          </w:rPr>
          <w:t>4</w:t>
        </w:r>
      </w:fldSimple>
      <w:bookmarkEnd w:id="8"/>
      <w:r>
        <w:t>: Risk Factor vs % Dependent Borrower Count</w:t>
      </w:r>
    </w:p>
    <w:p w14:paraId="0527303C" w14:textId="16319E28" w:rsidR="003E5224" w:rsidRDefault="003E5224" w:rsidP="003E5224">
      <w:pPr>
        <w:pStyle w:val="Caption"/>
      </w:pPr>
      <w:bookmarkStart w:id="9" w:name="_GoBack"/>
      <w:bookmarkEnd w:id="9"/>
      <w:r>
        <w:rPr>
          <w:noProof/>
        </w:rPr>
        <w:drawing>
          <wp:inline distT="0" distB="0" distL="0" distR="0" wp14:anchorId="41401D8F" wp14:editId="0584217D">
            <wp:extent cx="4343400" cy="29972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298" cy="3023414"/>
                    </a:xfrm>
                    <a:prstGeom prst="rect">
                      <a:avLst/>
                    </a:prstGeom>
                  </pic:spPr>
                </pic:pic>
              </a:graphicData>
            </a:graphic>
          </wp:inline>
        </w:drawing>
      </w:r>
    </w:p>
    <w:p w14:paraId="3C883CA7" w14:textId="18CD7042" w:rsidR="004303F1" w:rsidRPr="00F21DAD" w:rsidRDefault="004303F1" w:rsidP="004303F1">
      <w:pPr>
        <w:pStyle w:val="Caption"/>
      </w:pPr>
      <w:bookmarkStart w:id="10" w:name="_Ref511166659"/>
      <w:r>
        <w:t xml:space="preserve">Figure </w:t>
      </w:r>
      <w:fldSimple w:instr=" SEQ Figure \* ARABIC ">
        <w:r w:rsidR="00E43020">
          <w:rPr>
            <w:noProof/>
          </w:rPr>
          <w:t>5</w:t>
        </w:r>
      </w:fldSimple>
      <w:bookmarkEnd w:id="10"/>
      <w:r>
        <w:t>: Risk Factor vs</w:t>
      </w:r>
      <w:r w:rsidRPr="00F21DAD">
        <w:t xml:space="preserve"> </w:t>
      </w:r>
      <w:r>
        <w:t>Mean Balance</w:t>
      </w:r>
    </w:p>
    <w:p w14:paraId="4B72143C" w14:textId="41DFA9F7" w:rsidR="003E5224" w:rsidRPr="00F21DAD" w:rsidRDefault="003E5224" w:rsidP="004303F1">
      <w:pPr>
        <w:pStyle w:val="Caption"/>
      </w:pPr>
    </w:p>
    <w:p w14:paraId="727F229A" w14:textId="77777777" w:rsidR="003E5224" w:rsidRDefault="003E5224" w:rsidP="003E5224">
      <w:pPr>
        <w:spacing w:after="0"/>
      </w:pPr>
      <w:r w:rsidRPr="00572A08">
        <w:t>Attributes showing a very we</w:t>
      </w:r>
      <w:r>
        <w:t>ak negative correlation include:</w:t>
      </w:r>
    </w:p>
    <w:p w14:paraId="125F61DD" w14:textId="77777777" w:rsidR="003E5224" w:rsidRPr="00572A08" w:rsidRDefault="003E5224" w:rsidP="003E5224">
      <w:pPr>
        <w:spacing w:after="0"/>
      </w:pPr>
    </w:p>
    <w:p w14:paraId="703A0EC2" w14:textId="77777777" w:rsidR="003E5224" w:rsidRPr="00572A08" w:rsidRDefault="003E5224" w:rsidP="003E5224">
      <w:pPr>
        <w:numPr>
          <w:ilvl w:val="0"/>
          <w:numId w:val="20"/>
        </w:numPr>
        <w:spacing w:after="0"/>
      </w:pPr>
      <w:r>
        <w:t>% Dependent Borrowers with AGI &lt; $30k</w:t>
      </w:r>
    </w:p>
    <w:p w14:paraId="7E552082" w14:textId="77777777" w:rsidR="003E5224" w:rsidRDefault="003E5224" w:rsidP="003E5224">
      <w:pPr>
        <w:numPr>
          <w:ilvl w:val="1"/>
          <w:numId w:val="20"/>
        </w:numPr>
        <w:spacing w:after="0"/>
      </w:pPr>
      <w:r>
        <w:t>R-Value = -0.25</w:t>
      </w:r>
    </w:p>
    <w:p w14:paraId="22CD1B22" w14:textId="4C76274D" w:rsidR="003E5224" w:rsidRDefault="004303F1" w:rsidP="003E5224">
      <w:pPr>
        <w:spacing w:after="0"/>
      </w:pPr>
      <w:r>
        <w:fldChar w:fldCharType="begin"/>
      </w:r>
      <w:r>
        <w:instrText xml:space="preserve"> REF _Ref511166704 \h </w:instrText>
      </w:r>
      <w:r>
        <w:fldChar w:fldCharType="separate"/>
      </w:r>
      <w:r w:rsidR="00E43020">
        <w:t xml:space="preserve">Figure </w:t>
      </w:r>
      <w:r w:rsidR="00E43020">
        <w:rPr>
          <w:noProof/>
        </w:rPr>
        <w:t>6</w:t>
      </w:r>
      <w:r>
        <w:fldChar w:fldCharType="end"/>
      </w:r>
      <w:r>
        <w:t xml:space="preserve"> </w:t>
      </w:r>
      <w:r w:rsidR="003E5224">
        <w:t>is a scatter plot</w:t>
      </w:r>
      <w:r w:rsidR="003E5224" w:rsidRPr="00F21DAD">
        <w:t xml:space="preserve"> with </w:t>
      </w:r>
      <w:r w:rsidR="003E5224">
        <w:t xml:space="preserve">a trendline of the calculated risk vs </w:t>
      </w:r>
      <w:r w:rsidR="003E5224" w:rsidRPr="00F21DAD">
        <w:t>% Dependent Borrowers with AGI</w:t>
      </w:r>
      <w:r w:rsidR="003E5224">
        <w:t xml:space="preserve"> &lt; $30k</w:t>
      </w:r>
      <w:r w:rsidR="003E5224" w:rsidRPr="00F21DAD">
        <w:t>.</w:t>
      </w:r>
    </w:p>
    <w:p w14:paraId="31969D3A" w14:textId="77777777" w:rsidR="003E5224" w:rsidRDefault="003E5224" w:rsidP="003E5224">
      <w:pPr>
        <w:spacing w:after="0"/>
      </w:pPr>
    </w:p>
    <w:p w14:paraId="7A1A848C" w14:textId="77777777" w:rsidR="003E5224" w:rsidRDefault="003E5224" w:rsidP="003E5224">
      <w:pPr>
        <w:keepNext/>
        <w:spacing w:after="0"/>
        <w:jc w:val="center"/>
      </w:pPr>
      <w:r w:rsidRPr="00F21DAD">
        <w:rPr>
          <w:noProof/>
        </w:rPr>
        <w:drawing>
          <wp:inline distT="0" distB="0" distL="0" distR="0" wp14:anchorId="4186BFF1" wp14:editId="0C13694D">
            <wp:extent cx="3981450" cy="2746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6203" cy="2756356"/>
                    </a:xfrm>
                    <a:prstGeom prst="rect">
                      <a:avLst/>
                    </a:prstGeom>
                  </pic:spPr>
                </pic:pic>
              </a:graphicData>
            </a:graphic>
          </wp:inline>
        </w:drawing>
      </w:r>
    </w:p>
    <w:p w14:paraId="665BDDD3" w14:textId="61412369" w:rsidR="003E5224" w:rsidRPr="00572A08" w:rsidRDefault="004303F1" w:rsidP="004303F1">
      <w:pPr>
        <w:pStyle w:val="Caption"/>
      </w:pPr>
      <w:bookmarkStart w:id="11" w:name="_Ref511166704"/>
      <w:r>
        <w:t xml:space="preserve">Figure </w:t>
      </w:r>
      <w:fldSimple w:instr=" SEQ Figure \* ARABIC ">
        <w:r w:rsidR="00E43020">
          <w:rPr>
            <w:noProof/>
          </w:rPr>
          <w:t>6</w:t>
        </w:r>
      </w:fldSimple>
      <w:bookmarkEnd w:id="11"/>
      <w:r>
        <w:t xml:space="preserve">: Risk Factor vs </w:t>
      </w:r>
      <w:r w:rsidRPr="00F21DAD">
        <w:t>% Dependent Borrowers with AGI</w:t>
      </w:r>
      <w:r>
        <w:t xml:space="preserve"> &lt; $30k</w:t>
      </w:r>
    </w:p>
    <w:p w14:paraId="3EC62895" w14:textId="77777777" w:rsidR="003E5224" w:rsidRPr="003E5224" w:rsidRDefault="003E5224" w:rsidP="003E5224"/>
    <w:p w14:paraId="6BD1567A" w14:textId="2B01F18B" w:rsidR="00DC5F48" w:rsidRPr="00DC5F48" w:rsidRDefault="70173970" w:rsidP="00DC5F48">
      <w:pPr>
        <w:pStyle w:val="Heading3"/>
      </w:pPr>
      <w:r>
        <w:t>Association Analysis</w:t>
      </w:r>
    </w:p>
    <w:p w14:paraId="1845A1A5" w14:textId="1CCFB771" w:rsidR="70173970" w:rsidRDefault="70173970">
      <w:r w:rsidRPr="70173970">
        <w:rPr>
          <w:rFonts w:eastAsia="GE Inspira Book" w:cs="GE Inspira Book"/>
        </w:rPr>
        <w:t xml:space="preserve">In addition to correlation analysis, it was decided to perform association analysis to determine the correlation between the risk classification and the other non-numerical attributes in the data set. The non-numerical values describing the institutions in the data set include the following: Eligibility for financial aid, certification, type and control and the newly calculated borrowing risk classification. </w:t>
      </w:r>
    </w:p>
    <w:p w14:paraId="57E43620" w14:textId="05D0C28F" w:rsidR="7EFA21EB" w:rsidRDefault="7EFA21EB">
      <w:r w:rsidRPr="7EFA21EB">
        <w:rPr>
          <w:rFonts w:eastAsia="GE Inspira Book" w:cs="GE Inspira Book"/>
        </w:rPr>
        <w:t>Therefore, the Orange python package was used to perform this analysis. The rules were generated from the data using minimum support as 0.1 and minimum confidence as 0.2. Using Orange’s capabilities, the lift measure was also computed for each of rules generated. The lift was the predominant measure in this portion of the project since it is the measure of dependent/correlated events. The association rules generated were also sorted for clear visualization. The following is the resulting table of association rules.</w:t>
      </w:r>
    </w:p>
    <w:p w14:paraId="07A1B482" w14:textId="04FD8380" w:rsidR="70173970" w:rsidRDefault="70173970" w:rsidP="70173970">
      <w:pPr>
        <w:pStyle w:val="Caption"/>
      </w:pPr>
      <w:r>
        <w:t>Table 6: Association Rules for Borrowing Risk</w:t>
      </w:r>
    </w:p>
    <w:tbl>
      <w:tblPr>
        <w:tblStyle w:val="GridTable1Light-Accent1"/>
        <w:tblW w:w="8588" w:type="dxa"/>
        <w:jc w:val="center"/>
        <w:tblLayout w:type="fixed"/>
        <w:tblLook w:val="04A0" w:firstRow="1" w:lastRow="0" w:firstColumn="1" w:lastColumn="0" w:noHBand="0" w:noVBand="1"/>
      </w:tblPr>
      <w:tblGrid>
        <w:gridCol w:w="720"/>
        <w:gridCol w:w="720"/>
        <w:gridCol w:w="720"/>
        <w:gridCol w:w="6428"/>
      </w:tblGrid>
      <w:tr w:rsidR="70173970" w14:paraId="02208279" w14:textId="77777777" w:rsidTr="202679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613D4A5F" w14:textId="74EEFEAE" w:rsidR="70173970" w:rsidRDefault="202679BA" w:rsidP="202679BA">
            <w:pPr>
              <w:spacing w:after="0"/>
              <w:jc w:val="center"/>
              <w:rPr>
                <w:sz w:val="22"/>
                <w:szCs w:val="22"/>
              </w:rPr>
            </w:pPr>
            <w:proofErr w:type="spellStart"/>
            <w:r w:rsidRPr="202679BA">
              <w:rPr>
                <w:sz w:val="22"/>
                <w:szCs w:val="22"/>
              </w:rPr>
              <w:t>supp</w:t>
            </w:r>
            <w:proofErr w:type="spellEnd"/>
          </w:p>
        </w:tc>
        <w:tc>
          <w:tcPr>
            <w:tcW w:w="720" w:type="dxa"/>
          </w:tcPr>
          <w:p w14:paraId="4F5C8F98" w14:textId="2E3143AB" w:rsidR="70173970" w:rsidRDefault="202679BA" w:rsidP="202679BA">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202679BA">
              <w:rPr>
                <w:sz w:val="22"/>
                <w:szCs w:val="22"/>
              </w:rPr>
              <w:t xml:space="preserve"> conf</w:t>
            </w:r>
          </w:p>
        </w:tc>
        <w:tc>
          <w:tcPr>
            <w:tcW w:w="720" w:type="dxa"/>
          </w:tcPr>
          <w:p w14:paraId="6B4DB48E" w14:textId="26116436" w:rsidR="70173970" w:rsidRDefault="202679BA" w:rsidP="202679BA">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202679BA">
              <w:rPr>
                <w:sz w:val="22"/>
                <w:szCs w:val="22"/>
              </w:rPr>
              <w:t xml:space="preserve"> lift</w:t>
            </w:r>
          </w:p>
        </w:tc>
        <w:tc>
          <w:tcPr>
            <w:tcW w:w="6428" w:type="dxa"/>
          </w:tcPr>
          <w:p w14:paraId="52260787" w14:textId="17525D51" w:rsidR="70173970" w:rsidRDefault="202679BA" w:rsidP="202679BA">
            <w:pPr>
              <w:spacing w:after="0"/>
              <w:cnfStyle w:val="100000000000" w:firstRow="1" w:lastRow="0" w:firstColumn="0" w:lastColumn="0" w:oddVBand="0" w:evenVBand="0" w:oddHBand="0" w:evenHBand="0" w:firstRowFirstColumn="0" w:firstRowLastColumn="0" w:lastRowFirstColumn="0" w:lastRowLastColumn="0"/>
              <w:rPr>
                <w:b w:val="0"/>
                <w:bCs w:val="0"/>
                <w:sz w:val="20"/>
                <w:szCs w:val="20"/>
              </w:rPr>
            </w:pPr>
            <w:r w:rsidRPr="202679BA">
              <w:rPr>
                <w:sz w:val="22"/>
                <w:szCs w:val="22"/>
              </w:rPr>
              <w:t xml:space="preserve"> rule</w:t>
            </w:r>
          </w:p>
        </w:tc>
      </w:tr>
      <w:tr w:rsidR="70173970" w14:paraId="432B52EB"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498A0B49" w14:textId="10B71338" w:rsidR="70173970" w:rsidRDefault="202679BA" w:rsidP="202679BA">
            <w:pPr>
              <w:spacing w:after="0"/>
              <w:jc w:val="right"/>
              <w:rPr>
                <w:b w:val="0"/>
                <w:bCs w:val="0"/>
                <w:sz w:val="22"/>
                <w:szCs w:val="22"/>
              </w:rPr>
            </w:pPr>
            <w:r w:rsidRPr="202679BA">
              <w:rPr>
                <w:b w:val="0"/>
                <w:bCs w:val="0"/>
                <w:sz w:val="22"/>
                <w:szCs w:val="22"/>
              </w:rPr>
              <w:t>0.164</w:t>
            </w:r>
          </w:p>
        </w:tc>
        <w:tc>
          <w:tcPr>
            <w:tcW w:w="720" w:type="dxa"/>
          </w:tcPr>
          <w:p w14:paraId="2098F536" w14:textId="2A322790"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0.881</w:t>
            </w:r>
          </w:p>
        </w:tc>
        <w:tc>
          <w:tcPr>
            <w:tcW w:w="720" w:type="dxa"/>
          </w:tcPr>
          <w:p w14:paraId="1A1F63F7" w14:textId="2C7E0983"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1.233</w:t>
            </w:r>
          </w:p>
        </w:tc>
        <w:tc>
          <w:tcPr>
            <w:tcW w:w="6428" w:type="dxa"/>
            <w:shd w:val="clear" w:color="auto" w:fill="FFC7CE"/>
          </w:tcPr>
          <w:p w14:paraId="63862C1A" w14:textId="02C2D8BB"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Risk=Most Risk ELIGIND=Y -&gt; CERTCD=C</w:t>
            </w:r>
          </w:p>
        </w:tc>
      </w:tr>
      <w:tr w:rsidR="70173970" w14:paraId="12393B65"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3B34D93B" w14:textId="13F6D797" w:rsidR="70173970" w:rsidRDefault="202679BA" w:rsidP="202679BA">
            <w:pPr>
              <w:spacing w:after="0"/>
              <w:jc w:val="right"/>
              <w:rPr>
                <w:b w:val="0"/>
                <w:bCs w:val="0"/>
                <w:sz w:val="22"/>
                <w:szCs w:val="22"/>
              </w:rPr>
            </w:pPr>
            <w:r w:rsidRPr="202679BA">
              <w:rPr>
                <w:b w:val="0"/>
                <w:bCs w:val="0"/>
                <w:sz w:val="22"/>
                <w:szCs w:val="22"/>
              </w:rPr>
              <w:lastRenderedPageBreak/>
              <w:t>0.164</w:t>
            </w:r>
          </w:p>
        </w:tc>
        <w:tc>
          <w:tcPr>
            <w:tcW w:w="720" w:type="dxa"/>
          </w:tcPr>
          <w:p w14:paraId="3FE9557A" w14:textId="7F801556"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0.23</w:t>
            </w:r>
          </w:p>
        </w:tc>
        <w:tc>
          <w:tcPr>
            <w:tcW w:w="720" w:type="dxa"/>
          </w:tcPr>
          <w:p w14:paraId="26A483C7" w14:textId="75DEEDCF"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1.233</w:t>
            </w:r>
          </w:p>
        </w:tc>
        <w:tc>
          <w:tcPr>
            <w:tcW w:w="6428" w:type="dxa"/>
            <w:shd w:val="clear" w:color="auto" w:fill="C6EFCE"/>
          </w:tcPr>
          <w:p w14:paraId="3E609306" w14:textId="574C2F48"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202679BA">
              <w:rPr>
                <w:color w:val="006100"/>
                <w:sz w:val="22"/>
                <w:szCs w:val="22"/>
              </w:rPr>
              <w:t>CERTCD=C -&gt; Borrowing Risk=Most Risk ELIGIND=Y</w:t>
            </w:r>
          </w:p>
        </w:tc>
      </w:tr>
      <w:tr w:rsidR="70173970" w14:paraId="64D15717"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5EDFF4B7" w14:textId="1735111C" w:rsidR="70173970" w:rsidRDefault="202679BA" w:rsidP="202679BA">
            <w:pPr>
              <w:spacing w:after="0"/>
              <w:jc w:val="right"/>
              <w:rPr>
                <w:b w:val="0"/>
                <w:bCs w:val="0"/>
                <w:sz w:val="22"/>
                <w:szCs w:val="22"/>
              </w:rPr>
            </w:pPr>
            <w:r w:rsidRPr="202679BA">
              <w:rPr>
                <w:b w:val="0"/>
                <w:bCs w:val="0"/>
                <w:sz w:val="22"/>
                <w:szCs w:val="22"/>
              </w:rPr>
              <w:t>0.215</w:t>
            </w:r>
          </w:p>
        </w:tc>
        <w:tc>
          <w:tcPr>
            <w:tcW w:w="720" w:type="dxa"/>
          </w:tcPr>
          <w:p w14:paraId="344E7DF4" w14:textId="21909435"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0.852</w:t>
            </w:r>
          </w:p>
        </w:tc>
        <w:tc>
          <w:tcPr>
            <w:tcW w:w="720" w:type="dxa"/>
          </w:tcPr>
          <w:p w14:paraId="3FEF19B0" w14:textId="52C3AE5E"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1.192</w:t>
            </w:r>
          </w:p>
        </w:tc>
        <w:tc>
          <w:tcPr>
            <w:tcW w:w="6428" w:type="dxa"/>
            <w:shd w:val="clear" w:color="auto" w:fill="FFC7CE"/>
          </w:tcPr>
          <w:p w14:paraId="67FD9424" w14:textId="49B40E0C"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Risk=More Risk ELIGIND=Y -&gt; CERTCD=C</w:t>
            </w:r>
          </w:p>
        </w:tc>
      </w:tr>
      <w:tr w:rsidR="70173970" w14:paraId="2522C9DE"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00F55B91" w14:textId="21AD6F42" w:rsidR="70173970" w:rsidRDefault="202679BA" w:rsidP="202679BA">
            <w:pPr>
              <w:spacing w:after="0"/>
              <w:jc w:val="right"/>
              <w:rPr>
                <w:b w:val="0"/>
                <w:bCs w:val="0"/>
                <w:sz w:val="22"/>
                <w:szCs w:val="22"/>
              </w:rPr>
            </w:pPr>
            <w:r w:rsidRPr="202679BA">
              <w:rPr>
                <w:b w:val="0"/>
                <w:bCs w:val="0"/>
                <w:sz w:val="22"/>
                <w:szCs w:val="22"/>
              </w:rPr>
              <w:t>0.215</w:t>
            </w:r>
          </w:p>
        </w:tc>
        <w:tc>
          <w:tcPr>
            <w:tcW w:w="720" w:type="dxa"/>
          </w:tcPr>
          <w:p w14:paraId="4B7F7201" w14:textId="1ACB158A"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0.301</w:t>
            </w:r>
          </w:p>
        </w:tc>
        <w:tc>
          <w:tcPr>
            <w:tcW w:w="720" w:type="dxa"/>
          </w:tcPr>
          <w:p w14:paraId="1F622807" w14:textId="08F9E3FC"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1.192</w:t>
            </w:r>
          </w:p>
        </w:tc>
        <w:tc>
          <w:tcPr>
            <w:tcW w:w="6428" w:type="dxa"/>
            <w:shd w:val="clear" w:color="auto" w:fill="C6EFCE"/>
          </w:tcPr>
          <w:p w14:paraId="2FA0FCB8" w14:textId="4779AD5E"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202679BA">
              <w:rPr>
                <w:color w:val="006100"/>
                <w:sz w:val="22"/>
                <w:szCs w:val="22"/>
              </w:rPr>
              <w:t>CERTCD=C -&gt; Borrowing Risk=More Risk ELIGIND=Y</w:t>
            </w:r>
          </w:p>
        </w:tc>
      </w:tr>
      <w:tr w:rsidR="70173970" w14:paraId="3B345114"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04E0AB7D" w14:textId="6AAEBDBD" w:rsidR="70173970" w:rsidRDefault="202679BA" w:rsidP="202679BA">
            <w:pPr>
              <w:spacing w:after="0"/>
              <w:jc w:val="right"/>
              <w:rPr>
                <w:b w:val="0"/>
                <w:bCs w:val="0"/>
                <w:sz w:val="22"/>
                <w:szCs w:val="22"/>
              </w:rPr>
            </w:pPr>
            <w:r w:rsidRPr="202679BA">
              <w:rPr>
                <w:b w:val="0"/>
                <w:bCs w:val="0"/>
                <w:sz w:val="22"/>
                <w:szCs w:val="22"/>
              </w:rPr>
              <w:t>0.164</w:t>
            </w:r>
          </w:p>
        </w:tc>
        <w:tc>
          <w:tcPr>
            <w:tcW w:w="720" w:type="dxa"/>
          </w:tcPr>
          <w:p w14:paraId="36B91D0A" w14:textId="227443A9"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0.832</w:t>
            </w:r>
          </w:p>
        </w:tc>
        <w:tc>
          <w:tcPr>
            <w:tcW w:w="720" w:type="dxa"/>
          </w:tcPr>
          <w:p w14:paraId="11E90183" w14:textId="43D57E5D"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1.165</w:t>
            </w:r>
          </w:p>
        </w:tc>
        <w:tc>
          <w:tcPr>
            <w:tcW w:w="6428" w:type="dxa"/>
            <w:shd w:val="clear" w:color="auto" w:fill="FFC7CE"/>
          </w:tcPr>
          <w:p w14:paraId="1E915D95" w14:textId="530E98C3"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Risk=Most Risk -&gt; CERTCD=C</w:t>
            </w:r>
          </w:p>
        </w:tc>
      </w:tr>
      <w:tr w:rsidR="70173970" w14:paraId="420074CE"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0577C11F" w14:textId="0D6C2D9B" w:rsidR="70173970" w:rsidRDefault="202679BA" w:rsidP="202679BA">
            <w:pPr>
              <w:spacing w:after="0"/>
              <w:jc w:val="right"/>
              <w:rPr>
                <w:b w:val="0"/>
                <w:bCs w:val="0"/>
                <w:sz w:val="22"/>
                <w:szCs w:val="22"/>
              </w:rPr>
            </w:pPr>
            <w:r w:rsidRPr="202679BA">
              <w:rPr>
                <w:b w:val="0"/>
                <w:bCs w:val="0"/>
                <w:sz w:val="22"/>
                <w:szCs w:val="22"/>
              </w:rPr>
              <w:t>0.164</w:t>
            </w:r>
          </w:p>
        </w:tc>
        <w:tc>
          <w:tcPr>
            <w:tcW w:w="720" w:type="dxa"/>
          </w:tcPr>
          <w:p w14:paraId="036CDDC0" w14:textId="0936401C"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0.832</w:t>
            </w:r>
          </w:p>
        </w:tc>
        <w:tc>
          <w:tcPr>
            <w:tcW w:w="720" w:type="dxa"/>
          </w:tcPr>
          <w:p w14:paraId="6926AAEA" w14:textId="459978A9"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1.165</w:t>
            </w:r>
          </w:p>
        </w:tc>
        <w:tc>
          <w:tcPr>
            <w:tcW w:w="6428" w:type="dxa"/>
            <w:shd w:val="clear" w:color="auto" w:fill="FFC7CE"/>
          </w:tcPr>
          <w:p w14:paraId="005325BB" w14:textId="6C5FC7D6"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Risk=Most Risk -&gt; ELIGIND=Y CERTCD=C</w:t>
            </w:r>
          </w:p>
        </w:tc>
      </w:tr>
      <w:tr w:rsidR="70173970" w14:paraId="09ABAC06"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2320E4B7" w14:textId="21690A52" w:rsidR="70173970" w:rsidRDefault="202679BA" w:rsidP="202679BA">
            <w:pPr>
              <w:spacing w:after="0"/>
              <w:jc w:val="right"/>
              <w:rPr>
                <w:b w:val="0"/>
                <w:bCs w:val="0"/>
                <w:sz w:val="22"/>
                <w:szCs w:val="22"/>
              </w:rPr>
            </w:pPr>
            <w:r w:rsidRPr="202679BA">
              <w:rPr>
                <w:b w:val="0"/>
                <w:bCs w:val="0"/>
                <w:sz w:val="22"/>
                <w:szCs w:val="22"/>
              </w:rPr>
              <w:t>0.164</w:t>
            </w:r>
          </w:p>
        </w:tc>
        <w:tc>
          <w:tcPr>
            <w:tcW w:w="720" w:type="dxa"/>
          </w:tcPr>
          <w:p w14:paraId="7E69B370" w14:textId="0DEF152D"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0.23</w:t>
            </w:r>
          </w:p>
        </w:tc>
        <w:tc>
          <w:tcPr>
            <w:tcW w:w="720" w:type="dxa"/>
          </w:tcPr>
          <w:p w14:paraId="5027FFEB" w14:textId="56B87B4D"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1.165</w:t>
            </w:r>
          </w:p>
        </w:tc>
        <w:tc>
          <w:tcPr>
            <w:tcW w:w="6428" w:type="dxa"/>
            <w:shd w:val="clear" w:color="auto" w:fill="C6EFCE"/>
          </w:tcPr>
          <w:p w14:paraId="47FE629E" w14:textId="5856F48E"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202679BA">
              <w:rPr>
                <w:color w:val="006100"/>
                <w:sz w:val="22"/>
                <w:szCs w:val="22"/>
              </w:rPr>
              <w:t>CERTCD=C -&gt; Borrowing Risk=Most Risk</w:t>
            </w:r>
          </w:p>
        </w:tc>
      </w:tr>
      <w:tr w:rsidR="70173970" w14:paraId="25DF024E"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473F595B" w14:textId="79B52893" w:rsidR="70173970" w:rsidRDefault="202679BA" w:rsidP="202679BA">
            <w:pPr>
              <w:spacing w:after="0"/>
              <w:jc w:val="right"/>
              <w:rPr>
                <w:b w:val="0"/>
                <w:bCs w:val="0"/>
                <w:sz w:val="22"/>
                <w:szCs w:val="22"/>
              </w:rPr>
            </w:pPr>
            <w:r w:rsidRPr="202679BA">
              <w:rPr>
                <w:b w:val="0"/>
                <w:bCs w:val="0"/>
                <w:sz w:val="22"/>
                <w:szCs w:val="22"/>
              </w:rPr>
              <w:t>0.164</w:t>
            </w:r>
          </w:p>
        </w:tc>
        <w:tc>
          <w:tcPr>
            <w:tcW w:w="720" w:type="dxa"/>
          </w:tcPr>
          <w:p w14:paraId="4D2B4B6D" w14:textId="39A36092"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0.23</w:t>
            </w:r>
          </w:p>
        </w:tc>
        <w:tc>
          <w:tcPr>
            <w:tcW w:w="720" w:type="dxa"/>
          </w:tcPr>
          <w:p w14:paraId="368EC703" w14:textId="7504838A"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1.165</w:t>
            </w:r>
          </w:p>
        </w:tc>
        <w:tc>
          <w:tcPr>
            <w:tcW w:w="6428" w:type="dxa"/>
            <w:shd w:val="clear" w:color="auto" w:fill="C6EFCE"/>
          </w:tcPr>
          <w:p w14:paraId="7649A27B" w14:textId="4070A353"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202679BA">
              <w:rPr>
                <w:color w:val="006100"/>
                <w:sz w:val="22"/>
                <w:szCs w:val="22"/>
              </w:rPr>
              <w:t>ELIGIND=Y CERTCD=C -&gt; Borrowing Risk=Most Risk</w:t>
            </w:r>
          </w:p>
        </w:tc>
      </w:tr>
      <w:tr w:rsidR="70173970" w14:paraId="7BE654C2"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1C9E76AA" w14:textId="26AA0DBB" w:rsidR="70173970" w:rsidRDefault="202679BA" w:rsidP="202679BA">
            <w:pPr>
              <w:spacing w:after="0"/>
              <w:jc w:val="right"/>
              <w:rPr>
                <w:b w:val="0"/>
                <w:bCs w:val="0"/>
                <w:sz w:val="22"/>
                <w:szCs w:val="22"/>
              </w:rPr>
            </w:pPr>
            <w:r w:rsidRPr="202679BA">
              <w:rPr>
                <w:b w:val="0"/>
                <w:bCs w:val="0"/>
                <w:sz w:val="22"/>
                <w:szCs w:val="22"/>
              </w:rPr>
              <w:t>0.215</w:t>
            </w:r>
          </w:p>
        </w:tc>
        <w:tc>
          <w:tcPr>
            <w:tcW w:w="720" w:type="dxa"/>
          </w:tcPr>
          <w:p w14:paraId="3EF3E419" w14:textId="7A46ACD3"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w:t>
            </w:r>
          </w:p>
        </w:tc>
        <w:tc>
          <w:tcPr>
            <w:tcW w:w="720" w:type="dxa"/>
          </w:tcPr>
          <w:p w14:paraId="4761AF8D" w14:textId="36F5BC1D"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1.142</w:t>
            </w:r>
          </w:p>
        </w:tc>
        <w:tc>
          <w:tcPr>
            <w:tcW w:w="6428" w:type="dxa"/>
            <w:shd w:val="clear" w:color="auto" w:fill="FFC7CE"/>
          </w:tcPr>
          <w:p w14:paraId="7CB68C59" w14:textId="0C93A91B"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Risk=More Risk CERTCD=C -&gt; ELIGIND=Y</w:t>
            </w:r>
          </w:p>
        </w:tc>
      </w:tr>
      <w:tr w:rsidR="70173970" w14:paraId="0ECEBC8E"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5BF4403C" w14:textId="3D7A5AF9" w:rsidR="70173970" w:rsidRDefault="202679BA" w:rsidP="202679BA">
            <w:pPr>
              <w:spacing w:after="0"/>
              <w:jc w:val="right"/>
              <w:rPr>
                <w:b w:val="0"/>
                <w:bCs w:val="0"/>
                <w:sz w:val="22"/>
                <w:szCs w:val="22"/>
              </w:rPr>
            </w:pPr>
            <w:r w:rsidRPr="202679BA">
              <w:rPr>
                <w:b w:val="0"/>
                <w:bCs w:val="0"/>
                <w:sz w:val="22"/>
                <w:szCs w:val="22"/>
              </w:rPr>
              <w:t>0.215</w:t>
            </w:r>
          </w:p>
        </w:tc>
        <w:tc>
          <w:tcPr>
            <w:tcW w:w="720" w:type="dxa"/>
          </w:tcPr>
          <w:p w14:paraId="07BE9183" w14:textId="27F17DFC"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0.245</w:t>
            </w:r>
          </w:p>
        </w:tc>
        <w:tc>
          <w:tcPr>
            <w:tcW w:w="720" w:type="dxa"/>
          </w:tcPr>
          <w:p w14:paraId="7EBA0EDE" w14:textId="11D9A8AC"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1.142</w:t>
            </w:r>
          </w:p>
        </w:tc>
        <w:tc>
          <w:tcPr>
            <w:tcW w:w="6428" w:type="dxa"/>
            <w:shd w:val="clear" w:color="auto" w:fill="C6EFCE"/>
          </w:tcPr>
          <w:p w14:paraId="7525BBC0" w14:textId="35CD83F5"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202679BA">
              <w:rPr>
                <w:color w:val="006100"/>
                <w:sz w:val="22"/>
                <w:szCs w:val="22"/>
              </w:rPr>
              <w:t>ELIGIND=Y -&gt; Borrowing Risk=More Risk CERTCD=C</w:t>
            </w:r>
          </w:p>
        </w:tc>
      </w:tr>
      <w:tr w:rsidR="70173970" w14:paraId="1C5C7E31"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467A57CE" w14:textId="57312195" w:rsidR="70173970" w:rsidRDefault="202679BA" w:rsidP="202679BA">
            <w:pPr>
              <w:spacing w:after="0"/>
              <w:jc w:val="right"/>
              <w:rPr>
                <w:b w:val="0"/>
                <w:bCs w:val="0"/>
                <w:sz w:val="22"/>
                <w:szCs w:val="22"/>
              </w:rPr>
            </w:pPr>
            <w:r w:rsidRPr="202679BA">
              <w:rPr>
                <w:b w:val="0"/>
                <w:bCs w:val="0"/>
                <w:sz w:val="22"/>
                <w:szCs w:val="22"/>
              </w:rPr>
              <w:t>0.173</w:t>
            </w:r>
          </w:p>
        </w:tc>
        <w:tc>
          <w:tcPr>
            <w:tcW w:w="720" w:type="dxa"/>
          </w:tcPr>
          <w:p w14:paraId="45F0DD6C" w14:textId="0400174F"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w:t>
            </w:r>
          </w:p>
        </w:tc>
        <w:tc>
          <w:tcPr>
            <w:tcW w:w="720" w:type="dxa"/>
          </w:tcPr>
          <w:p w14:paraId="1C9B8EC6" w14:textId="1498B51B"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1.142</w:t>
            </w:r>
          </w:p>
        </w:tc>
        <w:tc>
          <w:tcPr>
            <w:tcW w:w="6428" w:type="dxa"/>
            <w:shd w:val="clear" w:color="auto" w:fill="FFC7CE"/>
          </w:tcPr>
          <w:p w14:paraId="0DEA6D3F" w14:textId="4D9F3DF9"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Risk=Less Risk CERTCD=C -&gt; ELIGIND=Y</w:t>
            </w:r>
          </w:p>
        </w:tc>
      </w:tr>
      <w:tr w:rsidR="70173970" w14:paraId="27938E3D"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6319FA81" w14:textId="6E111F63" w:rsidR="70173970" w:rsidRDefault="202679BA" w:rsidP="202679BA">
            <w:pPr>
              <w:spacing w:after="0"/>
              <w:jc w:val="right"/>
              <w:rPr>
                <w:b w:val="0"/>
                <w:bCs w:val="0"/>
                <w:sz w:val="22"/>
                <w:szCs w:val="22"/>
              </w:rPr>
            </w:pPr>
            <w:r w:rsidRPr="202679BA">
              <w:rPr>
                <w:b w:val="0"/>
                <w:bCs w:val="0"/>
                <w:sz w:val="22"/>
                <w:szCs w:val="22"/>
              </w:rPr>
              <w:t>0.164</w:t>
            </w:r>
          </w:p>
        </w:tc>
        <w:tc>
          <w:tcPr>
            <w:tcW w:w="720" w:type="dxa"/>
          </w:tcPr>
          <w:p w14:paraId="79C44FE5" w14:textId="72F42E4D"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w:t>
            </w:r>
          </w:p>
        </w:tc>
        <w:tc>
          <w:tcPr>
            <w:tcW w:w="720" w:type="dxa"/>
          </w:tcPr>
          <w:p w14:paraId="0ADA56D2" w14:textId="4BD3C6F3"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1.142</w:t>
            </w:r>
          </w:p>
        </w:tc>
        <w:tc>
          <w:tcPr>
            <w:tcW w:w="6428" w:type="dxa"/>
            <w:shd w:val="clear" w:color="auto" w:fill="FFC7CE"/>
          </w:tcPr>
          <w:p w14:paraId="206B9D33" w14:textId="005EED4D"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Risk=Most Risk CERTCD=C -&gt; ELIGIND=Y</w:t>
            </w:r>
          </w:p>
        </w:tc>
      </w:tr>
      <w:tr w:rsidR="70173970" w14:paraId="1412AF15"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32297241" w14:textId="508445B7" w:rsidR="70173970" w:rsidRDefault="202679BA" w:rsidP="202679BA">
            <w:pPr>
              <w:spacing w:after="0"/>
              <w:jc w:val="right"/>
              <w:rPr>
                <w:b w:val="0"/>
                <w:bCs w:val="0"/>
                <w:sz w:val="22"/>
                <w:szCs w:val="22"/>
              </w:rPr>
            </w:pPr>
            <w:r w:rsidRPr="202679BA">
              <w:rPr>
                <w:b w:val="0"/>
                <w:bCs w:val="0"/>
                <w:sz w:val="22"/>
                <w:szCs w:val="22"/>
              </w:rPr>
              <w:t>0.162</w:t>
            </w:r>
          </w:p>
        </w:tc>
        <w:tc>
          <w:tcPr>
            <w:tcW w:w="720" w:type="dxa"/>
          </w:tcPr>
          <w:p w14:paraId="34569AD1" w14:textId="1E3B1BEE"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w:t>
            </w:r>
          </w:p>
        </w:tc>
        <w:tc>
          <w:tcPr>
            <w:tcW w:w="720" w:type="dxa"/>
          </w:tcPr>
          <w:p w14:paraId="13AE722E" w14:textId="4445B17A"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1.142</w:t>
            </w:r>
          </w:p>
        </w:tc>
        <w:tc>
          <w:tcPr>
            <w:tcW w:w="6428" w:type="dxa"/>
            <w:shd w:val="clear" w:color="auto" w:fill="FFC7CE"/>
          </w:tcPr>
          <w:p w14:paraId="58B81670" w14:textId="3DC548EB"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Risk=Moderate Risk CERTCD=C -&gt; ELIGIND=Y</w:t>
            </w:r>
          </w:p>
        </w:tc>
      </w:tr>
      <w:tr w:rsidR="70173970" w14:paraId="40CCB56B"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531D8155" w14:textId="0CE4C4F9" w:rsidR="70173970" w:rsidRDefault="202679BA" w:rsidP="202679BA">
            <w:pPr>
              <w:spacing w:after="0"/>
              <w:jc w:val="right"/>
              <w:rPr>
                <w:b w:val="0"/>
                <w:bCs w:val="0"/>
                <w:sz w:val="22"/>
                <w:szCs w:val="22"/>
              </w:rPr>
            </w:pPr>
            <w:r w:rsidRPr="202679BA">
              <w:rPr>
                <w:b w:val="0"/>
                <w:bCs w:val="0"/>
                <w:sz w:val="22"/>
                <w:szCs w:val="22"/>
              </w:rPr>
              <w:t>0.162</w:t>
            </w:r>
          </w:p>
        </w:tc>
        <w:tc>
          <w:tcPr>
            <w:tcW w:w="720" w:type="dxa"/>
          </w:tcPr>
          <w:p w14:paraId="1CD5F9F3" w14:textId="44B1C4B7"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0.795</w:t>
            </w:r>
          </w:p>
        </w:tc>
        <w:tc>
          <w:tcPr>
            <w:tcW w:w="720" w:type="dxa"/>
          </w:tcPr>
          <w:p w14:paraId="06F6931D" w14:textId="4C433349"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1.113</w:t>
            </w:r>
          </w:p>
        </w:tc>
        <w:tc>
          <w:tcPr>
            <w:tcW w:w="6428" w:type="dxa"/>
            <w:shd w:val="clear" w:color="auto" w:fill="FFC7CE"/>
          </w:tcPr>
          <w:p w14:paraId="6F9A2A7D" w14:textId="5C071C01"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Risk=Moderate Risk ELIGIND=Y -&gt; CERTCD=C</w:t>
            </w:r>
          </w:p>
        </w:tc>
      </w:tr>
      <w:tr w:rsidR="70173970" w14:paraId="22552815"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0742AFAF" w14:textId="7040014F" w:rsidR="70173970" w:rsidRDefault="202679BA" w:rsidP="202679BA">
            <w:pPr>
              <w:spacing w:after="0"/>
              <w:jc w:val="right"/>
              <w:rPr>
                <w:b w:val="0"/>
                <w:bCs w:val="0"/>
                <w:sz w:val="22"/>
                <w:szCs w:val="22"/>
              </w:rPr>
            </w:pPr>
            <w:r w:rsidRPr="202679BA">
              <w:rPr>
                <w:b w:val="0"/>
                <w:bCs w:val="0"/>
                <w:sz w:val="22"/>
                <w:szCs w:val="22"/>
              </w:rPr>
              <w:t>0.162</w:t>
            </w:r>
          </w:p>
        </w:tc>
        <w:tc>
          <w:tcPr>
            <w:tcW w:w="720" w:type="dxa"/>
          </w:tcPr>
          <w:p w14:paraId="35E9CEBD" w14:textId="052958B1"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0.226</w:t>
            </w:r>
          </w:p>
        </w:tc>
        <w:tc>
          <w:tcPr>
            <w:tcW w:w="720" w:type="dxa"/>
          </w:tcPr>
          <w:p w14:paraId="58FE95B1" w14:textId="0BC11108"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1.113</w:t>
            </w:r>
          </w:p>
        </w:tc>
        <w:tc>
          <w:tcPr>
            <w:tcW w:w="6428" w:type="dxa"/>
            <w:shd w:val="clear" w:color="auto" w:fill="C6EFCE"/>
          </w:tcPr>
          <w:p w14:paraId="1F23E581" w14:textId="2C37E825"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202679BA">
              <w:rPr>
                <w:color w:val="006100"/>
                <w:sz w:val="22"/>
                <w:szCs w:val="22"/>
              </w:rPr>
              <w:t>CERTCD=C -&gt; Borrowing Risk=Moderate Risk ELIGIND=Y</w:t>
            </w:r>
          </w:p>
        </w:tc>
      </w:tr>
      <w:tr w:rsidR="70173970" w14:paraId="36ED3DCA"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4FB28BB9" w14:textId="1E1B5555" w:rsidR="70173970" w:rsidRDefault="202679BA" w:rsidP="202679BA">
            <w:pPr>
              <w:spacing w:after="0"/>
              <w:jc w:val="right"/>
              <w:rPr>
                <w:b w:val="0"/>
                <w:bCs w:val="0"/>
                <w:sz w:val="22"/>
                <w:szCs w:val="22"/>
              </w:rPr>
            </w:pPr>
            <w:r w:rsidRPr="202679BA">
              <w:rPr>
                <w:b w:val="0"/>
                <w:bCs w:val="0"/>
                <w:sz w:val="22"/>
                <w:szCs w:val="22"/>
              </w:rPr>
              <w:t>0.215</w:t>
            </w:r>
          </w:p>
        </w:tc>
        <w:tc>
          <w:tcPr>
            <w:tcW w:w="720" w:type="dxa"/>
          </w:tcPr>
          <w:p w14:paraId="2EB1C915" w14:textId="10DA18FA"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0.794</w:t>
            </w:r>
          </w:p>
        </w:tc>
        <w:tc>
          <w:tcPr>
            <w:tcW w:w="720" w:type="dxa"/>
          </w:tcPr>
          <w:p w14:paraId="0FD035E1" w14:textId="66164D90"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1.112</w:t>
            </w:r>
          </w:p>
        </w:tc>
        <w:tc>
          <w:tcPr>
            <w:tcW w:w="6428" w:type="dxa"/>
            <w:shd w:val="clear" w:color="auto" w:fill="FFC7CE"/>
          </w:tcPr>
          <w:p w14:paraId="44EF08E3" w14:textId="654544C4"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Risk=More Risk -&gt; ELIGIND=Y CERTCD=C</w:t>
            </w:r>
          </w:p>
        </w:tc>
      </w:tr>
      <w:tr w:rsidR="70173970" w14:paraId="7CCD094E"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10373184" w14:textId="7743903F" w:rsidR="70173970" w:rsidRDefault="202679BA" w:rsidP="202679BA">
            <w:pPr>
              <w:spacing w:after="0"/>
              <w:jc w:val="right"/>
              <w:rPr>
                <w:b w:val="0"/>
                <w:bCs w:val="0"/>
                <w:sz w:val="22"/>
                <w:szCs w:val="22"/>
              </w:rPr>
            </w:pPr>
            <w:r w:rsidRPr="202679BA">
              <w:rPr>
                <w:b w:val="0"/>
                <w:bCs w:val="0"/>
                <w:sz w:val="22"/>
                <w:szCs w:val="22"/>
              </w:rPr>
              <w:t>0.215</w:t>
            </w:r>
          </w:p>
        </w:tc>
        <w:tc>
          <w:tcPr>
            <w:tcW w:w="720" w:type="dxa"/>
          </w:tcPr>
          <w:p w14:paraId="09A75908" w14:textId="5E3D243F"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0.794</w:t>
            </w:r>
          </w:p>
        </w:tc>
        <w:tc>
          <w:tcPr>
            <w:tcW w:w="720" w:type="dxa"/>
          </w:tcPr>
          <w:p w14:paraId="00BE5E92" w14:textId="591310F8"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1.112</w:t>
            </w:r>
          </w:p>
        </w:tc>
        <w:tc>
          <w:tcPr>
            <w:tcW w:w="6428" w:type="dxa"/>
            <w:shd w:val="clear" w:color="auto" w:fill="FFC7CE"/>
          </w:tcPr>
          <w:p w14:paraId="2DEE2923" w14:textId="54C0C03A"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Risk=More Risk -&gt; CERTCD=C</w:t>
            </w:r>
          </w:p>
        </w:tc>
      </w:tr>
      <w:tr w:rsidR="70173970" w14:paraId="302B8F3C"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72D09F56" w14:textId="4D4ACAE0" w:rsidR="70173970" w:rsidRDefault="202679BA" w:rsidP="202679BA">
            <w:pPr>
              <w:spacing w:after="0"/>
              <w:jc w:val="right"/>
              <w:rPr>
                <w:b w:val="0"/>
                <w:bCs w:val="0"/>
                <w:sz w:val="22"/>
                <w:szCs w:val="22"/>
              </w:rPr>
            </w:pPr>
            <w:r w:rsidRPr="202679BA">
              <w:rPr>
                <w:b w:val="0"/>
                <w:bCs w:val="0"/>
                <w:sz w:val="22"/>
                <w:szCs w:val="22"/>
              </w:rPr>
              <w:t>0.215</w:t>
            </w:r>
          </w:p>
        </w:tc>
        <w:tc>
          <w:tcPr>
            <w:tcW w:w="720" w:type="dxa"/>
          </w:tcPr>
          <w:p w14:paraId="6FE8A631" w14:textId="0D70CAC8"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0.301</w:t>
            </w:r>
          </w:p>
        </w:tc>
        <w:tc>
          <w:tcPr>
            <w:tcW w:w="720" w:type="dxa"/>
          </w:tcPr>
          <w:p w14:paraId="1CE25B2D" w14:textId="59F3E1A9"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1.112</w:t>
            </w:r>
          </w:p>
        </w:tc>
        <w:tc>
          <w:tcPr>
            <w:tcW w:w="6428" w:type="dxa"/>
            <w:shd w:val="clear" w:color="auto" w:fill="C6EFCE"/>
          </w:tcPr>
          <w:p w14:paraId="10D35710" w14:textId="4264B428"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202679BA">
              <w:rPr>
                <w:color w:val="006100"/>
                <w:sz w:val="22"/>
                <w:szCs w:val="22"/>
              </w:rPr>
              <w:t>ELIGIND=Y CERTCD=C -&gt; Borrowing Risk=More Risk</w:t>
            </w:r>
          </w:p>
        </w:tc>
      </w:tr>
      <w:tr w:rsidR="70173970" w14:paraId="67BAA22A"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60405280" w14:textId="620EDE0A" w:rsidR="70173970" w:rsidRDefault="202679BA" w:rsidP="202679BA">
            <w:pPr>
              <w:spacing w:after="0"/>
              <w:jc w:val="right"/>
              <w:rPr>
                <w:b w:val="0"/>
                <w:bCs w:val="0"/>
                <w:sz w:val="22"/>
                <w:szCs w:val="22"/>
              </w:rPr>
            </w:pPr>
            <w:r w:rsidRPr="202679BA">
              <w:rPr>
                <w:b w:val="0"/>
                <w:bCs w:val="0"/>
                <w:sz w:val="22"/>
                <w:szCs w:val="22"/>
              </w:rPr>
              <w:t>0.215</w:t>
            </w:r>
          </w:p>
        </w:tc>
        <w:tc>
          <w:tcPr>
            <w:tcW w:w="720" w:type="dxa"/>
          </w:tcPr>
          <w:p w14:paraId="02A95A23" w14:textId="1894189C"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0.301</w:t>
            </w:r>
          </w:p>
        </w:tc>
        <w:tc>
          <w:tcPr>
            <w:tcW w:w="720" w:type="dxa"/>
          </w:tcPr>
          <w:p w14:paraId="43D68C8B" w14:textId="6639DECD"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1.112</w:t>
            </w:r>
          </w:p>
        </w:tc>
        <w:tc>
          <w:tcPr>
            <w:tcW w:w="6428" w:type="dxa"/>
            <w:shd w:val="clear" w:color="auto" w:fill="C6EFCE"/>
          </w:tcPr>
          <w:p w14:paraId="7E5CF6A0" w14:textId="07D55B32"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202679BA">
              <w:rPr>
                <w:color w:val="006100"/>
                <w:sz w:val="22"/>
                <w:szCs w:val="22"/>
              </w:rPr>
              <w:t>CERTCD=C -&gt; Borrowing Risk=More Risk</w:t>
            </w:r>
          </w:p>
        </w:tc>
      </w:tr>
      <w:tr w:rsidR="70173970" w14:paraId="5FD2EDDC"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09F8D131" w14:textId="59FF868C" w:rsidR="70173970" w:rsidRDefault="202679BA" w:rsidP="202679BA">
            <w:pPr>
              <w:spacing w:after="0"/>
              <w:jc w:val="right"/>
              <w:rPr>
                <w:b w:val="0"/>
                <w:bCs w:val="0"/>
                <w:sz w:val="22"/>
                <w:szCs w:val="22"/>
              </w:rPr>
            </w:pPr>
            <w:r w:rsidRPr="202679BA">
              <w:rPr>
                <w:b w:val="0"/>
                <w:bCs w:val="0"/>
                <w:sz w:val="22"/>
                <w:szCs w:val="22"/>
              </w:rPr>
              <w:t>0.187</w:t>
            </w:r>
          </w:p>
        </w:tc>
        <w:tc>
          <w:tcPr>
            <w:tcW w:w="720" w:type="dxa"/>
          </w:tcPr>
          <w:p w14:paraId="0EB5A5C5" w14:textId="247FE37B"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0.944</w:t>
            </w:r>
          </w:p>
        </w:tc>
        <w:tc>
          <w:tcPr>
            <w:tcW w:w="720" w:type="dxa"/>
          </w:tcPr>
          <w:p w14:paraId="56C922D1" w14:textId="2D6C3B00"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1.078</w:t>
            </w:r>
          </w:p>
        </w:tc>
        <w:tc>
          <w:tcPr>
            <w:tcW w:w="6428" w:type="dxa"/>
            <w:shd w:val="clear" w:color="auto" w:fill="FFC7CE"/>
          </w:tcPr>
          <w:p w14:paraId="67C11B90" w14:textId="4BA56864"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Risk=Most Risk -&gt; ELIGIND=Y</w:t>
            </w:r>
          </w:p>
        </w:tc>
      </w:tr>
      <w:tr w:rsidR="70173970" w14:paraId="32033E8D"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43BD4151" w14:textId="5506E6B2" w:rsidR="70173970" w:rsidRDefault="202679BA" w:rsidP="202679BA">
            <w:pPr>
              <w:spacing w:after="0"/>
              <w:jc w:val="right"/>
              <w:rPr>
                <w:b w:val="0"/>
                <w:bCs w:val="0"/>
                <w:sz w:val="22"/>
                <w:szCs w:val="22"/>
              </w:rPr>
            </w:pPr>
            <w:r w:rsidRPr="202679BA">
              <w:rPr>
                <w:b w:val="0"/>
                <w:bCs w:val="0"/>
                <w:sz w:val="22"/>
                <w:szCs w:val="22"/>
              </w:rPr>
              <w:t>0.187</w:t>
            </w:r>
          </w:p>
        </w:tc>
        <w:tc>
          <w:tcPr>
            <w:tcW w:w="720" w:type="dxa"/>
          </w:tcPr>
          <w:p w14:paraId="1000C8BB" w14:textId="76BE6A82"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0.213</w:t>
            </w:r>
          </w:p>
        </w:tc>
        <w:tc>
          <w:tcPr>
            <w:tcW w:w="720" w:type="dxa"/>
          </w:tcPr>
          <w:p w14:paraId="193A5791" w14:textId="2FCCE730"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1.078</w:t>
            </w:r>
          </w:p>
        </w:tc>
        <w:tc>
          <w:tcPr>
            <w:tcW w:w="6428" w:type="dxa"/>
            <w:shd w:val="clear" w:color="auto" w:fill="C6EFCE"/>
          </w:tcPr>
          <w:p w14:paraId="1EC6CF7A" w14:textId="0E712627"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202679BA">
              <w:rPr>
                <w:color w:val="006100"/>
                <w:sz w:val="22"/>
                <w:szCs w:val="22"/>
              </w:rPr>
              <w:t>ELIGIND=Y -&gt; Borrowing Risk=Most Risk</w:t>
            </w:r>
          </w:p>
        </w:tc>
      </w:tr>
      <w:tr w:rsidR="70173970" w14:paraId="6788780E"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04A6763D" w14:textId="5D765ED1" w:rsidR="70173970" w:rsidRDefault="202679BA" w:rsidP="202679BA">
            <w:pPr>
              <w:spacing w:after="0"/>
              <w:jc w:val="right"/>
              <w:rPr>
                <w:b w:val="0"/>
                <w:bCs w:val="0"/>
                <w:sz w:val="22"/>
                <w:szCs w:val="22"/>
              </w:rPr>
            </w:pPr>
            <w:r w:rsidRPr="202679BA">
              <w:rPr>
                <w:b w:val="0"/>
                <w:bCs w:val="0"/>
                <w:sz w:val="22"/>
                <w:szCs w:val="22"/>
              </w:rPr>
              <w:t>0.252</w:t>
            </w:r>
          </w:p>
        </w:tc>
        <w:tc>
          <w:tcPr>
            <w:tcW w:w="720" w:type="dxa"/>
          </w:tcPr>
          <w:p w14:paraId="6195BCA6" w14:textId="7E9962BF"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0.933</w:t>
            </w:r>
          </w:p>
        </w:tc>
        <w:tc>
          <w:tcPr>
            <w:tcW w:w="720" w:type="dxa"/>
          </w:tcPr>
          <w:p w14:paraId="77615367" w14:textId="2E3C9021"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1.065</w:t>
            </w:r>
          </w:p>
        </w:tc>
        <w:tc>
          <w:tcPr>
            <w:tcW w:w="6428" w:type="dxa"/>
            <w:shd w:val="clear" w:color="auto" w:fill="FFC7CE"/>
          </w:tcPr>
          <w:p w14:paraId="0316A058" w14:textId="28EF9262"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Risk=More Risk -&gt; ELIGIND=Y</w:t>
            </w:r>
          </w:p>
        </w:tc>
      </w:tr>
      <w:tr w:rsidR="70173970" w14:paraId="2B9B0DF9"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63ACB294" w14:textId="00102CC0" w:rsidR="70173970" w:rsidRDefault="202679BA" w:rsidP="202679BA">
            <w:pPr>
              <w:spacing w:after="0"/>
              <w:jc w:val="right"/>
              <w:rPr>
                <w:b w:val="0"/>
                <w:bCs w:val="0"/>
                <w:sz w:val="22"/>
                <w:szCs w:val="22"/>
              </w:rPr>
            </w:pPr>
            <w:r w:rsidRPr="202679BA">
              <w:rPr>
                <w:b w:val="0"/>
                <w:bCs w:val="0"/>
                <w:sz w:val="22"/>
                <w:szCs w:val="22"/>
              </w:rPr>
              <w:t>0.252</w:t>
            </w:r>
          </w:p>
        </w:tc>
        <w:tc>
          <w:tcPr>
            <w:tcW w:w="720" w:type="dxa"/>
          </w:tcPr>
          <w:p w14:paraId="11854FA6" w14:textId="4C701FD5"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0.288</w:t>
            </w:r>
          </w:p>
        </w:tc>
        <w:tc>
          <w:tcPr>
            <w:tcW w:w="720" w:type="dxa"/>
          </w:tcPr>
          <w:p w14:paraId="6071C875" w14:textId="30A2EBA8"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1.065</w:t>
            </w:r>
          </w:p>
        </w:tc>
        <w:tc>
          <w:tcPr>
            <w:tcW w:w="6428" w:type="dxa"/>
            <w:shd w:val="clear" w:color="auto" w:fill="C6EFCE"/>
          </w:tcPr>
          <w:p w14:paraId="656A9EB3" w14:textId="4EED09E2"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202679BA">
              <w:rPr>
                <w:color w:val="006100"/>
                <w:sz w:val="22"/>
                <w:szCs w:val="22"/>
              </w:rPr>
              <w:t>ELIGIND=Y -&gt; Borrowing Risk=More Risk</w:t>
            </w:r>
          </w:p>
        </w:tc>
      </w:tr>
      <w:tr w:rsidR="70173970" w14:paraId="34821DE4"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75AC323A" w14:textId="00E4BE95" w:rsidR="70173970" w:rsidRDefault="202679BA" w:rsidP="202679BA">
            <w:pPr>
              <w:spacing w:after="0"/>
              <w:jc w:val="right"/>
              <w:rPr>
                <w:b w:val="0"/>
                <w:bCs w:val="0"/>
                <w:sz w:val="22"/>
                <w:szCs w:val="22"/>
              </w:rPr>
            </w:pPr>
            <w:r w:rsidRPr="202679BA">
              <w:rPr>
                <w:b w:val="0"/>
                <w:bCs w:val="0"/>
                <w:sz w:val="22"/>
                <w:szCs w:val="22"/>
              </w:rPr>
              <w:t>0.173</w:t>
            </w:r>
          </w:p>
        </w:tc>
        <w:tc>
          <w:tcPr>
            <w:tcW w:w="720" w:type="dxa"/>
          </w:tcPr>
          <w:p w14:paraId="567B8633" w14:textId="48A411EC"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0.742</w:t>
            </w:r>
          </w:p>
        </w:tc>
        <w:tc>
          <w:tcPr>
            <w:tcW w:w="720" w:type="dxa"/>
          </w:tcPr>
          <w:p w14:paraId="243362F0" w14:textId="47ADAEA3"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1.039</w:t>
            </w:r>
          </w:p>
        </w:tc>
        <w:tc>
          <w:tcPr>
            <w:tcW w:w="6428" w:type="dxa"/>
            <w:shd w:val="clear" w:color="auto" w:fill="FFC7CE"/>
          </w:tcPr>
          <w:p w14:paraId="01BCBD49" w14:textId="20BB7811"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Risk=Less Risk ELIGIND=Y -&gt; CERTCD=C</w:t>
            </w:r>
          </w:p>
        </w:tc>
      </w:tr>
      <w:tr w:rsidR="70173970" w14:paraId="55B2E163"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5EA55BD1" w14:textId="3108CBC0" w:rsidR="70173970" w:rsidRDefault="202679BA" w:rsidP="202679BA">
            <w:pPr>
              <w:spacing w:after="0"/>
              <w:jc w:val="right"/>
              <w:rPr>
                <w:b w:val="0"/>
                <w:bCs w:val="0"/>
                <w:sz w:val="22"/>
                <w:szCs w:val="22"/>
              </w:rPr>
            </w:pPr>
            <w:r w:rsidRPr="202679BA">
              <w:rPr>
                <w:b w:val="0"/>
                <w:bCs w:val="0"/>
                <w:sz w:val="22"/>
                <w:szCs w:val="22"/>
              </w:rPr>
              <w:t>0.173</w:t>
            </w:r>
          </w:p>
        </w:tc>
        <w:tc>
          <w:tcPr>
            <w:tcW w:w="720" w:type="dxa"/>
          </w:tcPr>
          <w:p w14:paraId="08C338C8" w14:textId="52947F82"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0.242</w:t>
            </w:r>
          </w:p>
        </w:tc>
        <w:tc>
          <w:tcPr>
            <w:tcW w:w="720" w:type="dxa"/>
          </w:tcPr>
          <w:p w14:paraId="270262F0" w14:textId="53BE33F3"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1.039</w:t>
            </w:r>
          </w:p>
        </w:tc>
        <w:tc>
          <w:tcPr>
            <w:tcW w:w="6428" w:type="dxa"/>
            <w:shd w:val="clear" w:color="auto" w:fill="C6EFCE"/>
          </w:tcPr>
          <w:p w14:paraId="6A1EC0F7" w14:textId="1E91F1D8"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202679BA">
              <w:rPr>
                <w:color w:val="006100"/>
                <w:sz w:val="22"/>
                <w:szCs w:val="22"/>
              </w:rPr>
              <w:t>CERTCD=C -&gt; Borrowing Risk=Less Risk ELIGIND=Y</w:t>
            </w:r>
          </w:p>
        </w:tc>
      </w:tr>
      <w:tr w:rsidR="70173970" w14:paraId="703FC863"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31DDFF4C" w14:textId="65EA58F8" w:rsidR="70173970" w:rsidRDefault="202679BA" w:rsidP="202679BA">
            <w:pPr>
              <w:spacing w:after="0"/>
              <w:jc w:val="right"/>
              <w:rPr>
                <w:b w:val="0"/>
                <w:bCs w:val="0"/>
                <w:sz w:val="22"/>
                <w:szCs w:val="22"/>
              </w:rPr>
            </w:pPr>
            <w:r w:rsidRPr="202679BA">
              <w:rPr>
                <w:b w:val="0"/>
                <w:bCs w:val="0"/>
                <w:sz w:val="22"/>
                <w:szCs w:val="22"/>
              </w:rPr>
              <w:lastRenderedPageBreak/>
              <w:t>0.203</w:t>
            </w:r>
          </w:p>
        </w:tc>
        <w:tc>
          <w:tcPr>
            <w:tcW w:w="720" w:type="dxa"/>
          </w:tcPr>
          <w:p w14:paraId="760F5DD2" w14:textId="78576DEA"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0.869</w:t>
            </w:r>
          </w:p>
        </w:tc>
        <w:tc>
          <w:tcPr>
            <w:tcW w:w="720" w:type="dxa"/>
          </w:tcPr>
          <w:p w14:paraId="06AC0C58" w14:textId="46306B0E"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0.992</w:t>
            </w:r>
          </w:p>
        </w:tc>
        <w:tc>
          <w:tcPr>
            <w:tcW w:w="6428" w:type="dxa"/>
            <w:shd w:val="clear" w:color="auto" w:fill="FFC7CE"/>
          </w:tcPr>
          <w:p w14:paraId="7A33D3D6" w14:textId="73E6D3EF"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Risk=Moderate Risk -&gt; ELIGIND=Y</w:t>
            </w:r>
          </w:p>
        </w:tc>
      </w:tr>
      <w:tr w:rsidR="70173970" w14:paraId="2FE11047"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60D749C4" w14:textId="53386FFE" w:rsidR="70173970" w:rsidRDefault="202679BA" w:rsidP="202679BA">
            <w:pPr>
              <w:spacing w:after="0"/>
              <w:jc w:val="right"/>
              <w:rPr>
                <w:b w:val="0"/>
                <w:bCs w:val="0"/>
                <w:sz w:val="22"/>
                <w:szCs w:val="22"/>
              </w:rPr>
            </w:pPr>
            <w:r w:rsidRPr="202679BA">
              <w:rPr>
                <w:b w:val="0"/>
                <w:bCs w:val="0"/>
                <w:sz w:val="22"/>
                <w:szCs w:val="22"/>
              </w:rPr>
              <w:t>0.203</w:t>
            </w:r>
          </w:p>
        </w:tc>
        <w:tc>
          <w:tcPr>
            <w:tcW w:w="720" w:type="dxa"/>
          </w:tcPr>
          <w:p w14:paraId="534A7F5E" w14:textId="1610827B"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0.232</w:t>
            </w:r>
          </w:p>
        </w:tc>
        <w:tc>
          <w:tcPr>
            <w:tcW w:w="720" w:type="dxa"/>
          </w:tcPr>
          <w:p w14:paraId="07DD91F2" w14:textId="041E11ED"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0.992</w:t>
            </w:r>
          </w:p>
        </w:tc>
        <w:tc>
          <w:tcPr>
            <w:tcW w:w="6428" w:type="dxa"/>
            <w:shd w:val="clear" w:color="auto" w:fill="C6EFCE"/>
          </w:tcPr>
          <w:p w14:paraId="7E5A7CD6" w14:textId="4C5DD5A1"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202679BA">
              <w:rPr>
                <w:color w:val="006100"/>
                <w:sz w:val="22"/>
                <w:szCs w:val="22"/>
              </w:rPr>
              <w:t>ELIGIND=Y -&gt; Borrowing Risk=Moderate Risk</w:t>
            </w:r>
          </w:p>
        </w:tc>
      </w:tr>
      <w:tr w:rsidR="70173970" w14:paraId="600C5C32"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64ED7CF6" w14:textId="5B768879" w:rsidR="70173970" w:rsidRDefault="202679BA" w:rsidP="202679BA">
            <w:pPr>
              <w:spacing w:after="0"/>
              <w:jc w:val="right"/>
              <w:rPr>
                <w:b w:val="0"/>
                <w:bCs w:val="0"/>
                <w:sz w:val="22"/>
                <w:szCs w:val="22"/>
              </w:rPr>
            </w:pPr>
            <w:r w:rsidRPr="202679BA">
              <w:rPr>
                <w:b w:val="0"/>
                <w:bCs w:val="0"/>
                <w:sz w:val="22"/>
                <w:szCs w:val="22"/>
              </w:rPr>
              <w:t>0.162</w:t>
            </w:r>
          </w:p>
        </w:tc>
        <w:tc>
          <w:tcPr>
            <w:tcW w:w="720" w:type="dxa"/>
          </w:tcPr>
          <w:p w14:paraId="0EFC1AFA" w14:textId="1D9B409A"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0.691</w:t>
            </w:r>
          </w:p>
        </w:tc>
        <w:tc>
          <w:tcPr>
            <w:tcW w:w="720" w:type="dxa"/>
          </w:tcPr>
          <w:p w14:paraId="4666C661" w14:textId="3D191642"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0.967</w:t>
            </w:r>
          </w:p>
        </w:tc>
        <w:tc>
          <w:tcPr>
            <w:tcW w:w="6428" w:type="dxa"/>
            <w:shd w:val="clear" w:color="auto" w:fill="FFC7CE"/>
          </w:tcPr>
          <w:p w14:paraId="304E1BDF" w14:textId="6EBEA03C"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Risk=Moderate Risk -&gt; CERTCD=C</w:t>
            </w:r>
          </w:p>
        </w:tc>
      </w:tr>
      <w:tr w:rsidR="70173970" w14:paraId="5EED891F"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195C4CC4" w14:textId="363EEC39" w:rsidR="70173970" w:rsidRDefault="202679BA" w:rsidP="202679BA">
            <w:pPr>
              <w:spacing w:after="0"/>
              <w:jc w:val="right"/>
              <w:rPr>
                <w:b w:val="0"/>
                <w:bCs w:val="0"/>
                <w:sz w:val="22"/>
                <w:szCs w:val="22"/>
              </w:rPr>
            </w:pPr>
            <w:r w:rsidRPr="202679BA">
              <w:rPr>
                <w:b w:val="0"/>
                <w:bCs w:val="0"/>
                <w:sz w:val="22"/>
                <w:szCs w:val="22"/>
              </w:rPr>
              <w:t>0.162</w:t>
            </w:r>
          </w:p>
        </w:tc>
        <w:tc>
          <w:tcPr>
            <w:tcW w:w="720" w:type="dxa"/>
          </w:tcPr>
          <w:p w14:paraId="6043240A" w14:textId="570518F0"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0.691</w:t>
            </w:r>
          </w:p>
        </w:tc>
        <w:tc>
          <w:tcPr>
            <w:tcW w:w="720" w:type="dxa"/>
          </w:tcPr>
          <w:p w14:paraId="52B84041" w14:textId="644E9329"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0.967</w:t>
            </w:r>
          </w:p>
        </w:tc>
        <w:tc>
          <w:tcPr>
            <w:tcW w:w="6428" w:type="dxa"/>
            <w:shd w:val="clear" w:color="auto" w:fill="FFC7CE"/>
          </w:tcPr>
          <w:p w14:paraId="63F606AA" w14:textId="0AB75630"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Risk=Moderate Risk -&gt; ELIGIND=Y CERTCD=C</w:t>
            </w:r>
          </w:p>
        </w:tc>
      </w:tr>
      <w:tr w:rsidR="70173970" w14:paraId="1A4D0252"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1DA21422" w14:textId="18BF4EA1" w:rsidR="70173970" w:rsidRDefault="202679BA" w:rsidP="202679BA">
            <w:pPr>
              <w:spacing w:after="0"/>
              <w:jc w:val="right"/>
              <w:rPr>
                <w:b w:val="0"/>
                <w:bCs w:val="0"/>
                <w:sz w:val="22"/>
                <w:szCs w:val="22"/>
              </w:rPr>
            </w:pPr>
            <w:r w:rsidRPr="202679BA">
              <w:rPr>
                <w:b w:val="0"/>
                <w:bCs w:val="0"/>
                <w:sz w:val="22"/>
                <w:szCs w:val="22"/>
              </w:rPr>
              <w:t>0.162</w:t>
            </w:r>
          </w:p>
        </w:tc>
        <w:tc>
          <w:tcPr>
            <w:tcW w:w="720" w:type="dxa"/>
          </w:tcPr>
          <w:p w14:paraId="1004D0FD" w14:textId="1A875096"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0.226</w:t>
            </w:r>
          </w:p>
        </w:tc>
        <w:tc>
          <w:tcPr>
            <w:tcW w:w="720" w:type="dxa"/>
          </w:tcPr>
          <w:p w14:paraId="51C4737B" w14:textId="00279B86"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0.967</w:t>
            </w:r>
          </w:p>
        </w:tc>
        <w:tc>
          <w:tcPr>
            <w:tcW w:w="6428" w:type="dxa"/>
            <w:shd w:val="clear" w:color="auto" w:fill="C6EFCE"/>
          </w:tcPr>
          <w:p w14:paraId="1D043C6B" w14:textId="0FEA97A5"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202679BA">
              <w:rPr>
                <w:color w:val="006100"/>
                <w:sz w:val="22"/>
                <w:szCs w:val="22"/>
              </w:rPr>
              <w:t>CERTCD=C -&gt; Borrowing Risk=Moderate Risk</w:t>
            </w:r>
          </w:p>
        </w:tc>
      </w:tr>
      <w:tr w:rsidR="70173970" w14:paraId="365BA726"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443F33AF" w14:textId="66750FA6" w:rsidR="70173970" w:rsidRDefault="202679BA" w:rsidP="202679BA">
            <w:pPr>
              <w:spacing w:after="0"/>
              <w:jc w:val="right"/>
              <w:rPr>
                <w:b w:val="0"/>
                <w:bCs w:val="0"/>
                <w:sz w:val="22"/>
                <w:szCs w:val="22"/>
              </w:rPr>
            </w:pPr>
            <w:r w:rsidRPr="202679BA">
              <w:rPr>
                <w:b w:val="0"/>
                <w:bCs w:val="0"/>
                <w:sz w:val="22"/>
                <w:szCs w:val="22"/>
              </w:rPr>
              <w:t>0.162</w:t>
            </w:r>
          </w:p>
        </w:tc>
        <w:tc>
          <w:tcPr>
            <w:tcW w:w="720" w:type="dxa"/>
          </w:tcPr>
          <w:p w14:paraId="0B7E2E9A" w14:textId="61C39310"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0.226</w:t>
            </w:r>
          </w:p>
        </w:tc>
        <w:tc>
          <w:tcPr>
            <w:tcW w:w="720" w:type="dxa"/>
          </w:tcPr>
          <w:p w14:paraId="2A7CFECC" w14:textId="1340D8C7"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0.967</w:t>
            </w:r>
          </w:p>
        </w:tc>
        <w:tc>
          <w:tcPr>
            <w:tcW w:w="6428" w:type="dxa"/>
            <w:shd w:val="clear" w:color="auto" w:fill="C6EFCE"/>
          </w:tcPr>
          <w:p w14:paraId="04ADBD36" w14:textId="797ED394"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202679BA">
              <w:rPr>
                <w:color w:val="006100"/>
                <w:sz w:val="22"/>
                <w:szCs w:val="22"/>
              </w:rPr>
              <w:t>ELIGIND=Y CERTCD=C -&gt; Borrowing Risk=Moderate Risk</w:t>
            </w:r>
          </w:p>
        </w:tc>
      </w:tr>
      <w:tr w:rsidR="70173970" w14:paraId="2738C118"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5D642397" w14:textId="265D7AD0" w:rsidR="70173970" w:rsidRDefault="202679BA" w:rsidP="202679BA">
            <w:pPr>
              <w:spacing w:after="0"/>
              <w:jc w:val="right"/>
              <w:rPr>
                <w:b w:val="0"/>
                <w:bCs w:val="0"/>
                <w:sz w:val="22"/>
                <w:szCs w:val="22"/>
              </w:rPr>
            </w:pPr>
            <w:r w:rsidRPr="202679BA">
              <w:rPr>
                <w:b w:val="0"/>
                <w:bCs w:val="0"/>
                <w:sz w:val="22"/>
                <w:szCs w:val="22"/>
              </w:rPr>
              <w:t>0.233</w:t>
            </w:r>
          </w:p>
        </w:tc>
        <w:tc>
          <w:tcPr>
            <w:tcW w:w="720" w:type="dxa"/>
          </w:tcPr>
          <w:p w14:paraId="49AF8759" w14:textId="3599DF90"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0.783</w:t>
            </w:r>
          </w:p>
        </w:tc>
        <w:tc>
          <w:tcPr>
            <w:tcW w:w="720" w:type="dxa"/>
          </w:tcPr>
          <w:p w14:paraId="52B2F73C" w14:textId="48C397C4"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0.895</w:t>
            </w:r>
          </w:p>
        </w:tc>
        <w:tc>
          <w:tcPr>
            <w:tcW w:w="6428" w:type="dxa"/>
            <w:shd w:val="clear" w:color="auto" w:fill="FFC7CE"/>
          </w:tcPr>
          <w:p w14:paraId="50703C75" w14:textId="4E9EEF80"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Risk=Less Risk -&gt; ELIGIND=Y</w:t>
            </w:r>
          </w:p>
        </w:tc>
      </w:tr>
      <w:tr w:rsidR="70173970" w14:paraId="2DBC0E6C"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7C0B7D07" w14:textId="3D1C88E8" w:rsidR="70173970" w:rsidRDefault="202679BA" w:rsidP="202679BA">
            <w:pPr>
              <w:spacing w:after="0"/>
              <w:jc w:val="right"/>
              <w:rPr>
                <w:b w:val="0"/>
                <w:bCs w:val="0"/>
                <w:sz w:val="22"/>
                <w:szCs w:val="22"/>
              </w:rPr>
            </w:pPr>
            <w:r w:rsidRPr="202679BA">
              <w:rPr>
                <w:b w:val="0"/>
                <w:bCs w:val="0"/>
                <w:sz w:val="22"/>
                <w:szCs w:val="22"/>
              </w:rPr>
              <w:t>0.233</w:t>
            </w:r>
          </w:p>
        </w:tc>
        <w:tc>
          <w:tcPr>
            <w:tcW w:w="720" w:type="dxa"/>
          </w:tcPr>
          <w:p w14:paraId="54CB2A18" w14:textId="5B05039A"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0.266</w:t>
            </w:r>
          </w:p>
        </w:tc>
        <w:tc>
          <w:tcPr>
            <w:tcW w:w="720" w:type="dxa"/>
          </w:tcPr>
          <w:p w14:paraId="52AB3E99" w14:textId="69B232F8"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0.895</w:t>
            </w:r>
          </w:p>
        </w:tc>
        <w:tc>
          <w:tcPr>
            <w:tcW w:w="6428" w:type="dxa"/>
            <w:shd w:val="clear" w:color="auto" w:fill="C6EFCE"/>
          </w:tcPr>
          <w:p w14:paraId="2E65C6EB" w14:textId="09AFD286"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202679BA">
              <w:rPr>
                <w:color w:val="006100"/>
                <w:sz w:val="22"/>
                <w:szCs w:val="22"/>
              </w:rPr>
              <w:t>ELIGIND=Y -&gt; Borrowing Risk=Less Risk</w:t>
            </w:r>
          </w:p>
        </w:tc>
      </w:tr>
      <w:tr w:rsidR="70173970" w14:paraId="12AFCCEE"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52C040D5" w14:textId="38E4D412" w:rsidR="70173970" w:rsidRDefault="202679BA" w:rsidP="202679BA">
            <w:pPr>
              <w:spacing w:after="0"/>
              <w:jc w:val="right"/>
              <w:rPr>
                <w:b w:val="0"/>
                <w:bCs w:val="0"/>
                <w:sz w:val="22"/>
                <w:szCs w:val="22"/>
              </w:rPr>
            </w:pPr>
            <w:r w:rsidRPr="202679BA">
              <w:rPr>
                <w:b w:val="0"/>
                <w:bCs w:val="0"/>
                <w:sz w:val="22"/>
                <w:szCs w:val="22"/>
              </w:rPr>
              <w:t>0.173</w:t>
            </w:r>
          </w:p>
        </w:tc>
        <w:tc>
          <w:tcPr>
            <w:tcW w:w="720" w:type="dxa"/>
          </w:tcPr>
          <w:p w14:paraId="282B72C6" w14:textId="6953E9AB"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0.582</w:t>
            </w:r>
          </w:p>
        </w:tc>
        <w:tc>
          <w:tcPr>
            <w:tcW w:w="720" w:type="dxa"/>
          </w:tcPr>
          <w:p w14:paraId="6CC52E2E" w14:textId="48CDAEA3"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0.814</w:t>
            </w:r>
          </w:p>
        </w:tc>
        <w:tc>
          <w:tcPr>
            <w:tcW w:w="6428" w:type="dxa"/>
            <w:shd w:val="clear" w:color="auto" w:fill="FFC7CE"/>
          </w:tcPr>
          <w:p w14:paraId="22F2291D" w14:textId="1D4DF488"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Risk=Less Risk -&gt; CERTCD=C</w:t>
            </w:r>
          </w:p>
        </w:tc>
      </w:tr>
      <w:tr w:rsidR="70173970" w14:paraId="084C80AC"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379BFCBD" w14:textId="0BE23D32" w:rsidR="70173970" w:rsidRDefault="202679BA" w:rsidP="202679BA">
            <w:pPr>
              <w:spacing w:after="0"/>
              <w:jc w:val="right"/>
              <w:rPr>
                <w:b w:val="0"/>
                <w:bCs w:val="0"/>
                <w:sz w:val="22"/>
                <w:szCs w:val="22"/>
              </w:rPr>
            </w:pPr>
            <w:r w:rsidRPr="202679BA">
              <w:rPr>
                <w:b w:val="0"/>
                <w:bCs w:val="0"/>
                <w:sz w:val="22"/>
                <w:szCs w:val="22"/>
              </w:rPr>
              <w:t>0.173</w:t>
            </w:r>
          </w:p>
        </w:tc>
        <w:tc>
          <w:tcPr>
            <w:tcW w:w="720" w:type="dxa"/>
          </w:tcPr>
          <w:p w14:paraId="39EAE3BC" w14:textId="0F666C60"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0.582</w:t>
            </w:r>
          </w:p>
        </w:tc>
        <w:tc>
          <w:tcPr>
            <w:tcW w:w="720" w:type="dxa"/>
          </w:tcPr>
          <w:p w14:paraId="40F2BE44" w14:textId="07C5FFE3"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0.814</w:t>
            </w:r>
          </w:p>
        </w:tc>
        <w:tc>
          <w:tcPr>
            <w:tcW w:w="6428" w:type="dxa"/>
            <w:shd w:val="clear" w:color="auto" w:fill="FFC7CE"/>
          </w:tcPr>
          <w:p w14:paraId="46C6DCE9" w14:textId="42DDFD17"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9C0006"/>
                <w:sz w:val="20"/>
                <w:szCs w:val="20"/>
              </w:rPr>
            </w:pPr>
            <w:r w:rsidRPr="202679BA">
              <w:rPr>
                <w:color w:val="9C0006"/>
                <w:sz w:val="22"/>
                <w:szCs w:val="22"/>
              </w:rPr>
              <w:t>Borrowing Risk=Less Risk -&gt; ELIGIND=Y CERTCD=C</w:t>
            </w:r>
          </w:p>
        </w:tc>
      </w:tr>
      <w:tr w:rsidR="70173970" w14:paraId="6A084E16"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5DDA5D2A" w14:textId="231C37A2" w:rsidR="70173970" w:rsidRDefault="202679BA" w:rsidP="202679BA">
            <w:pPr>
              <w:spacing w:after="0"/>
              <w:jc w:val="right"/>
              <w:rPr>
                <w:b w:val="0"/>
                <w:bCs w:val="0"/>
                <w:sz w:val="22"/>
                <w:szCs w:val="22"/>
              </w:rPr>
            </w:pPr>
            <w:r w:rsidRPr="202679BA">
              <w:rPr>
                <w:b w:val="0"/>
                <w:bCs w:val="0"/>
                <w:sz w:val="22"/>
                <w:szCs w:val="22"/>
              </w:rPr>
              <w:t>0.173</w:t>
            </w:r>
          </w:p>
        </w:tc>
        <w:tc>
          <w:tcPr>
            <w:tcW w:w="720" w:type="dxa"/>
          </w:tcPr>
          <w:p w14:paraId="2E6D2A25" w14:textId="1D74B71F"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0.242</w:t>
            </w:r>
          </w:p>
        </w:tc>
        <w:tc>
          <w:tcPr>
            <w:tcW w:w="720" w:type="dxa"/>
          </w:tcPr>
          <w:p w14:paraId="57154819" w14:textId="03132E31"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0.814</w:t>
            </w:r>
          </w:p>
        </w:tc>
        <w:tc>
          <w:tcPr>
            <w:tcW w:w="6428" w:type="dxa"/>
            <w:shd w:val="clear" w:color="auto" w:fill="C6EFCE"/>
          </w:tcPr>
          <w:p w14:paraId="7C3083E7" w14:textId="7F9D1898"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202679BA">
              <w:rPr>
                <w:color w:val="006100"/>
                <w:sz w:val="22"/>
                <w:szCs w:val="22"/>
              </w:rPr>
              <w:t>CERTCD=C -&gt; Borrowing Risk=Less Risk</w:t>
            </w:r>
          </w:p>
        </w:tc>
      </w:tr>
      <w:tr w:rsidR="70173970" w14:paraId="471F82B8" w14:textId="77777777" w:rsidTr="202679B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73E4CAAB" w14:textId="1A5EE790" w:rsidR="70173970" w:rsidRDefault="202679BA" w:rsidP="202679BA">
            <w:pPr>
              <w:spacing w:after="0"/>
              <w:jc w:val="right"/>
              <w:rPr>
                <w:b w:val="0"/>
                <w:bCs w:val="0"/>
                <w:sz w:val="22"/>
                <w:szCs w:val="22"/>
              </w:rPr>
            </w:pPr>
            <w:r w:rsidRPr="202679BA">
              <w:rPr>
                <w:b w:val="0"/>
                <w:bCs w:val="0"/>
                <w:sz w:val="22"/>
                <w:szCs w:val="22"/>
              </w:rPr>
              <w:t>0.173</w:t>
            </w:r>
          </w:p>
        </w:tc>
        <w:tc>
          <w:tcPr>
            <w:tcW w:w="720" w:type="dxa"/>
          </w:tcPr>
          <w:p w14:paraId="5A41E47C" w14:textId="7255C15A"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0.242</w:t>
            </w:r>
          </w:p>
        </w:tc>
        <w:tc>
          <w:tcPr>
            <w:tcW w:w="720" w:type="dxa"/>
          </w:tcPr>
          <w:p w14:paraId="5DB90F05" w14:textId="6CC0A7DC" w:rsidR="70173970" w:rsidRDefault="202679BA" w:rsidP="202679BA">
            <w:pPr>
              <w:spacing w:after="0"/>
              <w:jc w:val="right"/>
              <w:cnfStyle w:val="000000000000" w:firstRow="0" w:lastRow="0" w:firstColumn="0" w:lastColumn="0" w:oddVBand="0" w:evenVBand="0" w:oddHBand="0" w:evenHBand="0" w:firstRowFirstColumn="0" w:firstRowLastColumn="0" w:lastRowFirstColumn="0" w:lastRowLastColumn="0"/>
              <w:rPr>
                <w:sz w:val="20"/>
                <w:szCs w:val="20"/>
              </w:rPr>
            </w:pPr>
            <w:r w:rsidRPr="202679BA">
              <w:rPr>
                <w:sz w:val="22"/>
                <w:szCs w:val="22"/>
              </w:rPr>
              <w:t>0.814</w:t>
            </w:r>
          </w:p>
        </w:tc>
        <w:tc>
          <w:tcPr>
            <w:tcW w:w="6428" w:type="dxa"/>
            <w:shd w:val="clear" w:color="auto" w:fill="C6EFCE"/>
          </w:tcPr>
          <w:p w14:paraId="2C7AE13A" w14:textId="5D75B76C" w:rsidR="70173970" w:rsidRDefault="202679BA" w:rsidP="202679BA">
            <w:pPr>
              <w:spacing w:after="0"/>
              <w:jc w:val="center"/>
              <w:cnfStyle w:val="000000000000" w:firstRow="0" w:lastRow="0" w:firstColumn="0" w:lastColumn="0" w:oddVBand="0" w:evenVBand="0" w:oddHBand="0" w:evenHBand="0" w:firstRowFirstColumn="0" w:firstRowLastColumn="0" w:lastRowFirstColumn="0" w:lastRowLastColumn="0"/>
              <w:rPr>
                <w:color w:val="006100"/>
                <w:sz w:val="20"/>
                <w:szCs w:val="20"/>
              </w:rPr>
            </w:pPr>
            <w:r w:rsidRPr="202679BA">
              <w:rPr>
                <w:color w:val="006100"/>
                <w:sz w:val="22"/>
                <w:szCs w:val="22"/>
              </w:rPr>
              <w:t>ELIGIND=Y CERTCD=C -&gt; Borrowing Risk=Less Risk</w:t>
            </w:r>
          </w:p>
        </w:tc>
      </w:tr>
    </w:tbl>
    <w:p w14:paraId="409613CA" w14:textId="755D2EFC" w:rsidR="70173970" w:rsidRDefault="70173970" w:rsidP="70173970">
      <w:pPr>
        <w:rPr>
          <w:rFonts w:eastAsia="GE Inspira Book" w:cs="GE Inspira Book"/>
        </w:rPr>
      </w:pPr>
    </w:p>
    <w:p w14:paraId="0EAFC6D1" w14:textId="607482AF" w:rsidR="70173970" w:rsidRDefault="70173970">
      <w:r w:rsidRPr="70173970">
        <w:rPr>
          <w:rFonts w:eastAsia="GE Inspira Book" w:cs="GE Inspira Book"/>
        </w:rPr>
        <w:t>Based on the initial conditions, it was determined that the type and control attribute was found to not be a strong association rule. In other words, in this initial assessment for the project, type and control will not be a deciding attribute in our prediction model. Therefore, the rest of the attributes, including eligibility for aid and certification, were found to be part of the strong association rules with lifts that display either negative and positive correlation, depending on the association rule. The next step in this portion of the project will be to carefully analyze each of the association rules to see what further details can be extracted.</w:t>
      </w:r>
    </w:p>
    <w:p w14:paraId="6D91E8AC" w14:textId="77777777" w:rsidR="00DC5F48" w:rsidRDefault="70173970" w:rsidP="00DC5F48">
      <w:pPr>
        <w:pStyle w:val="Heading2"/>
        <w:spacing w:before="0"/>
      </w:pPr>
      <w:r>
        <w:t>Predictive Model Creation</w:t>
      </w:r>
    </w:p>
    <w:p w14:paraId="1F6FF310" w14:textId="5CC4698B" w:rsidR="70173970" w:rsidRDefault="70173970" w:rsidP="70173970">
      <w:r>
        <w:t>The predictive model has not yet created. The initial steps for the creation are being examined for further refinement.</w:t>
      </w:r>
    </w:p>
    <w:p w14:paraId="55FAC27C" w14:textId="5DD8F289" w:rsidR="00DE2D81" w:rsidRDefault="70173970" w:rsidP="00DE2D81">
      <w:pPr>
        <w:pStyle w:val="Heading1"/>
      </w:pPr>
      <w:r>
        <w:t>Conclusion</w:t>
      </w:r>
    </w:p>
    <w:p w14:paraId="7B8FB2CC" w14:textId="1FC0EFC6" w:rsidR="70173970" w:rsidRDefault="70173970" w:rsidP="70173970">
      <w:r>
        <w:t xml:space="preserve">The conclusion will be completed as soon as the overall project reaches a considerable level of maturity and completion. </w:t>
      </w:r>
    </w:p>
    <w:p w14:paraId="30B58EA5" w14:textId="6CA7FCF3" w:rsidR="70173970" w:rsidRDefault="70173970" w:rsidP="70173970"/>
    <w:p w14:paraId="4DBDE15F" w14:textId="48B02E0E" w:rsidR="70173970" w:rsidRDefault="70173970" w:rsidP="70173970">
      <w:pPr>
        <w:pStyle w:val="Heading1"/>
        <w:numPr>
          <w:ilvl w:val="0"/>
          <w:numId w:val="0"/>
        </w:numPr>
      </w:pPr>
      <w:r w:rsidRPr="70173970">
        <w:t>Appendix A – Team Contributions</w:t>
      </w:r>
    </w:p>
    <w:p w14:paraId="52A813DC" w14:textId="6B57432A" w:rsidR="70173970" w:rsidRDefault="70173970" w:rsidP="70173970"/>
    <w:p w14:paraId="1B054FB0" w14:textId="44C3935D" w:rsidR="70173970" w:rsidRDefault="70173970" w:rsidP="70173970">
      <w:pPr>
        <w:pStyle w:val="Caption"/>
      </w:pPr>
      <w:r>
        <w:lastRenderedPageBreak/>
        <w:t>Table 7: Team Contributions</w:t>
      </w:r>
    </w:p>
    <w:tbl>
      <w:tblPr>
        <w:tblStyle w:val="GridTable1Light-Accent1"/>
        <w:tblW w:w="0" w:type="auto"/>
        <w:tblLayout w:type="fixed"/>
        <w:tblLook w:val="04A0" w:firstRow="1" w:lastRow="0" w:firstColumn="1" w:lastColumn="0" w:noHBand="0" w:noVBand="1"/>
      </w:tblPr>
      <w:tblGrid>
        <w:gridCol w:w="4680"/>
        <w:gridCol w:w="4680"/>
      </w:tblGrid>
      <w:tr w:rsidR="70173970" w14:paraId="273BC6F3" w14:textId="77777777" w:rsidTr="70173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21E5FFE" w14:textId="35B4C9E2" w:rsidR="70173970" w:rsidRDefault="70173970" w:rsidP="70173970">
            <w:r w:rsidRPr="70173970">
              <w:t>Team Member</w:t>
            </w:r>
          </w:p>
        </w:tc>
        <w:tc>
          <w:tcPr>
            <w:tcW w:w="4680" w:type="dxa"/>
          </w:tcPr>
          <w:p w14:paraId="5DCF89D3" w14:textId="056C75C7" w:rsidR="70173970" w:rsidRDefault="70173970" w:rsidP="70173970">
            <w:pPr>
              <w:cnfStyle w:val="100000000000" w:firstRow="1" w:lastRow="0" w:firstColumn="0" w:lastColumn="0" w:oddVBand="0" w:evenVBand="0" w:oddHBand="0" w:evenHBand="0" w:firstRowFirstColumn="0" w:firstRowLastColumn="0" w:lastRowFirstColumn="0" w:lastRowLastColumn="0"/>
            </w:pPr>
            <w:r w:rsidRPr="70173970">
              <w:t>Contribution</w:t>
            </w:r>
          </w:p>
        </w:tc>
      </w:tr>
      <w:tr w:rsidR="70173970" w14:paraId="21EB2A63" w14:textId="77777777" w:rsidTr="70173970">
        <w:tc>
          <w:tcPr>
            <w:cnfStyle w:val="001000000000" w:firstRow="0" w:lastRow="0" w:firstColumn="1" w:lastColumn="0" w:oddVBand="0" w:evenVBand="0" w:oddHBand="0" w:evenHBand="0" w:firstRowFirstColumn="0" w:firstRowLastColumn="0" w:lastRowFirstColumn="0" w:lastRowLastColumn="0"/>
            <w:tcW w:w="4680" w:type="dxa"/>
          </w:tcPr>
          <w:p w14:paraId="0A0E1D1F" w14:textId="5EDC1CEB" w:rsidR="70173970" w:rsidRDefault="70173970" w:rsidP="70173970">
            <w:r w:rsidRPr="70173970">
              <w:t>Misti Stevens</w:t>
            </w:r>
          </w:p>
        </w:tc>
        <w:tc>
          <w:tcPr>
            <w:tcW w:w="4680" w:type="dxa"/>
          </w:tcPr>
          <w:p w14:paraId="77B12213" w14:textId="2E43E6AB" w:rsidR="70173970" w:rsidRDefault="70173970" w:rsidP="70173970">
            <w:pPr>
              <w:cnfStyle w:val="000000000000" w:firstRow="0" w:lastRow="0" w:firstColumn="0" w:lastColumn="0" w:oddVBand="0" w:evenVBand="0" w:oddHBand="0" w:evenHBand="0" w:firstRowFirstColumn="0" w:firstRowLastColumn="0" w:lastRowFirstColumn="0" w:lastRowLastColumn="0"/>
            </w:pPr>
            <w:r w:rsidRPr="70173970">
              <w:t>Pre-processing and Classification</w:t>
            </w:r>
          </w:p>
        </w:tc>
      </w:tr>
      <w:tr w:rsidR="70173970" w14:paraId="77558E3E" w14:textId="77777777" w:rsidTr="70173970">
        <w:tc>
          <w:tcPr>
            <w:cnfStyle w:val="001000000000" w:firstRow="0" w:lastRow="0" w:firstColumn="1" w:lastColumn="0" w:oddVBand="0" w:evenVBand="0" w:oddHBand="0" w:evenHBand="0" w:firstRowFirstColumn="0" w:firstRowLastColumn="0" w:lastRowFirstColumn="0" w:lastRowLastColumn="0"/>
            <w:tcW w:w="4680" w:type="dxa"/>
          </w:tcPr>
          <w:p w14:paraId="74475174" w14:textId="3FE84AEE" w:rsidR="70173970" w:rsidRDefault="70173970" w:rsidP="70173970">
            <w:r w:rsidRPr="70173970">
              <w:t>Omar Waller</w:t>
            </w:r>
          </w:p>
        </w:tc>
        <w:tc>
          <w:tcPr>
            <w:tcW w:w="4680" w:type="dxa"/>
          </w:tcPr>
          <w:p w14:paraId="4D576505" w14:textId="4E54B62F" w:rsidR="70173970" w:rsidRDefault="70173970" w:rsidP="70173970">
            <w:pPr>
              <w:cnfStyle w:val="000000000000" w:firstRow="0" w:lastRow="0" w:firstColumn="0" w:lastColumn="0" w:oddVBand="0" w:evenVBand="0" w:oddHBand="0" w:evenHBand="0" w:firstRowFirstColumn="0" w:firstRowLastColumn="0" w:lastRowFirstColumn="0" w:lastRowLastColumn="0"/>
            </w:pPr>
            <w:r w:rsidRPr="70173970">
              <w:t>Correlation Analysis</w:t>
            </w:r>
          </w:p>
        </w:tc>
      </w:tr>
      <w:tr w:rsidR="70173970" w14:paraId="72321EBA" w14:textId="77777777" w:rsidTr="70173970">
        <w:tc>
          <w:tcPr>
            <w:cnfStyle w:val="001000000000" w:firstRow="0" w:lastRow="0" w:firstColumn="1" w:lastColumn="0" w:oddVBand="0" w:evenVBand="0" w:oddHBand="0" w:evenHBand="0" w:firstRowFirstColumn="0" w:firstRowLastColumn="0" w:lastRowFirstColumn="0" w:lastRowLastColumn="0"/>
            <w:tcW w:w="4680" w:type="dxa"/>
          </w:tcPr>
          <w:p w14:paraId="1399D476" w14:textId="0E7EE002" w:rsidR="70173970" w:rsidRDefault="70173970" w:rsidP="70173970">
            <w:r w:rsidRPr="70173970">
              <w:t>Alfredo Antolinez</w:t>
            </w:r>
          </w:p>
        </w:tc>
        <w:tc>
          <w:tcPr>
            <w:tcW w:w="4680" w:type="dxa"/>
          </w:tcPr>
          <w:p w14:paraId="59031C28" w14:textId="10EA428F" w:rsidR="70173970" w:rsidRDefault="70173970" w:rsidP="70173970">
            <w:pPr>
              <w:cnfStyle w:val="000000000000" w:firstRow="0" w:lastRow="0" w:firstColumn="0" w:lastColumn="0" w:oddVBand="0" w:evenVBand="0" w:oddHBand="0" w:evenHBand="0" w:firstRowFirstColumn="0" w:firstRowLastColumn="0" w:lastRowFirstColumn="0" w:lastRowLastColumn="0"/>
            </w:pPr>
            <w:r w:rsidRPr="70173970">
              <w:t>Association Rule Generation and Analysis</w:t>
            </w:r>
          </w:p>
        </w:tc>
      </w:tr>
    </w:tbl>
    <w:p w14:paraId="1A88BFD9" w14:textId="4B612103" w:rsidR="70173970" w:rsidRDefault="70173970" w:rsidP="70173970"/>
    <w:sectPr w:rsidR="70173970">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C3614" w14:textId="77777777" w:rsidR="001962A3" w:rsidRDefault="001962A3" w:rsidP="0018087D">
      <w:pPr>
        <w:spacing w:after="0"/>
      </w:pPr>
      <w:r>
        <w:separator/>
      </w:r>
    </w:p>
  </w:endnote>
  <w:endnote w:type="continuationSeparator" w:id="0">
    <w:p w14:paraId="0BA32305" w14:textId="77777777" w:rsidR="001962A3" w:rsidRDefault="001962A3" w:rsidP="00180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 Inspira Book">
    <w:panose1 w:val="020B0503030400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FFD37" w14:textId="77777777" w:rsidR="00E43020" w:rsidRDefault="00E43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7CC1D" w14:textId="77777777" w:rsidR="00E43020" w:rsidRDefault="00E430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39945" w14:textId="77777777" w:rsidR="00E43020" w:rsidRDefault="00E43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ADA65" w14:textId="77777777" w:rsidR="001962A3" w:rsidRDefault="001962A3" w:rsidP="0018087D">
      <w:pPr>
        <w:spacing w:after="0"/>
      </w:pPr>
      <w:r>
        <w:separator/>
      </w:r>
    </w:p>
  </w:footnote>
  <w:footnote w:type="continuationSeparator" w:id="0">
    <w:p w14:paraId="69F4C7E9" w14:textId="77777777" w:rsidR="001962A3" w:rsidRDefault="001962A3" w:rsidP="0018087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78278" w14:textId="77777777" w:rsidR="00E43020" w:rsidRDefault="00E430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2D8B6" w14:textId="77777777" w:rsidR="00E43020" w:rsidRDefault="00E430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BF3C5" w14:textId="77777777" w:rsidR="00E43020" w:rsidRDefault="00E430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FC6210C"/>
    <w:lvl w:ilvl="0">
      <w:start w:val="1"/>
      <w:numFmt w:val="decimal"/>
      <w:pStyle w:val="Heading1"/>
      <w:lvlText w:val="%1."/>
      <w:legacy w:legacy="1" w:legacySpace="144" w:legacyIndent="0"/>
      <w:lvlJc w:val="left"/>
      <w:rPr>
        <w:rFonts w:ascii="GE Inspira Book" w:hAnsi="GE Inspira Book" w:hint="default"/>
        <w:b/>
        <w:i w:val="0"/>
        <w:sz w:val="24"/>
        <w:szCs w:val="24"/>
      </w:rPr>
    </w:lvl>
    <w:lvl w:ilvl="1">
      <w:start w:val="1"/>
      <w:numFmt w:val="decimal"/>
      <w:pStyle w:val="Heading2"/>
      <w:lvlText w:val="%1.%2"/>
      <w:legacy w:legacy="1" w:legacySpace="144" w:legacyIndent="0"/>
      <w:lvlJc w:val="left"/>
      <w:rPr>
        <w:rFonts w:ascii="GE Inspira Book" w:hAnsi="GE Inspira Book" w:hint="default"/>
        <w:b/>
        <w:i w:val="0"/>
        <w:sz w:val="24"/>
        <w:szCs w:val="24"/>
      </w:rPr>
    </w:lvl>
    <w:lvl w:ilvl="2">
      <w:start w:val="1"/>
      <w:numFmt w:val="decimal"/>
      <w:pStyle w:val="Heading3"/>
      <w:lvlText w:val="%1.%2.%3"/>
      <w:legacy w:legacy="1" w:legacySpace="144" w:legacyIndent="0"/>
      <w:lvlJc w:val="left"/>
      <w:rPr>
        <w:rFonts w:ascii="GE Inspira Book" w:hAnsi="GE Inspira Book" w:hint="default"/>
        <w:b/>
        <w:i w:val="0"/>
        <w:sz w:val="24"/>
      </w:rPr>
    </w:lvl>
    <w:lvl w:ilvl="3">
      <w:start w:val="1"/>
      <w:numFmt w:val="decimal"/>
      <w:pStyle w:val="Heading4"/>
      <w:lvlText w:val="%1.%2.%3.%4"/>
      <w:legacy w:legacy="1" w:legacySpace="144" w:legacyIndent="0"/>
      <w:lvlJc w:val="left"/>
      <w:rPr>
        <w:rFonts w:ascii="GE Inspira Book" w:hAnsi="GE Inspira Book" w:hint="default"/>
        <w:b/>
        <w:i w:val="0"/>
        <w:sz w:val="24"/>
        <w:szCs w:val="24"/>
      </w:rPr>
    </w:lvl>
    <w:lvl w:ilvl="4">
      <w:start w:val="1"/>
      <w:numFmt w:val="decimal"/>
      <w:pStyle w:val="Heading5"/>
      <w:lvlText w:val="%1.%2.%3.%4.%5"/>
      <w:legacy w:legacy="1" w:legacySpace="144" w:legacyIndent="0"/>
      <w:lvlJc w:val="left"/>
      <w:rPr>
        <w:rFonts w:ascii="Helvetica" w:hAnsi="Helvetica" w:hint="default"/>
        <w:b/>
        <w:i w:val="0"/>
        <w:sz w:val="22"/>
      </w:rPr>
    </w:lvl>
    <w:lvl w:ilvl="5">
      <w:start w:val="1"/>
      <w:numFmt w:val="decimal"/>
      <w:pStyle w:val="Heading6"/>
      <w:lvlText w:val="%1.%2.%3.%4.%5.%6"/>
      <w:legacy w:legacy="1" w:legacySpace="144" w:legacyIndent="0"/>
      <w:lvlJc w:val="left"/>
      <w:rPr>
        <w:rFonts w:ascii="Helvetica" w:hAnsi="Helvetica" w:hint="default"/>
        <w:b/>
        <w:i w:val="0"/>
        <w:sz w:val="22"/>
      </w:rPr>
    </w:lvl>
    <w:lvl w:ilvl="6">
      <w:start w:val="1"/>
      <w:numFmt w:val="decimal"/>
      <w:pStyle w:val="Heading7"/>
      <w:lvlText w:val="%1.%2.%3.%4.%5.%6.%7"/>
      <w:legacy w:legacy="1" w:legacySpace="144" w:legacyIndent="0"/>
      <w:lvlJc w:val="left"/>
      <w:rPr>
        <w:rFonts w:ascii="Helvetica" w:hAnsi="Helvetica" w:hint="default"/>
        <w:b/>
        <w:i w:val="0"/>
        <w:sz w:val="22"/>
      </w:rPr>
    </w:lvl>
    <w:lvl w:ilvl="7">
      <w:start w:val="1"/>
      <w:numFmt w:val="decimal"/>
      <w:lvlText w:val="%1.%2.%3.%4.%5.%6.%7.%8"/>
      <w:legacy w:legacy="1" w:legacySpace="144" w:legacyIndent="0"/>
      <w:lvlJc w:val="left"/>
      <w:rPr>
        <w:rFonts w:ascii="Helvetica" w:hAnsi="Helvetica" w:hint="default"/>
        <w:b/>
        <w:i w:val="0"/>
        <w:sz w:val="22"/>
      </w:rPr>
    </w:lvl>
    <w:lvl w:ilvl="8">
      <w:start w:val="1"/>
      <w:numFmt w:val="decimal"/>
      <w:lvlText w:val="%1.%2.%3.%4.%5.%6.%7.%8.%9"/>
      <w:legacy w:legacy="1" w:legacySpace="144" w:legacyIndent="0"/>
      <w:lvlJc w:val="left"/>
      <w:rPr>
        <w:rFonts w:ascii="Helvetica" w:hAnsi="Helvetica" w:hint="default"/>
        <w:b/>
        <w:i w:val="0"/>
        <w:sz w:val="22"/>
      </w:rPr>
    </w:lvl>
  </w:abstractNum>
  <w:abstractNum w:abstractNumId="1" w15:restartNumberingAfterBreak="0">
    <w:nsid w:val="03B865EF"/>
    <w:multiLevelType w:val="hybridMultilevel"/>
    <w:tmpl w:val="B888C910"/>
    <w:lvl w:ilvl="0" w:tplc="4094B9AA">
      <w:numFmt w:val="bullet"/>
      <w:lvlText w:val="•"/>
      <w:lvlJc w:val="left"/>
      <w:pPr>
        <w:ind w:left="1080" w:hanging="72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D5E68"/>
    <w:multiLevelType w:val="hybridMultilevel"/>
    <w:tmpl w:val="2E9C9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D695A"/>
    <w:multiLevelType w:val="hybridMultilevel"/>
    <w:tmpl w:val="F2CE8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005064"/>
    <w:multiLevelType w:val="hybridMultilevel"/>
    <w:tmpl w:val="03B0F49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93F1573"/>
    <w:multiLevelType w:val="hybridMultilevel"/>
    <w:tmpl w:val="46FED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AF23BFB"/>
    <w:multiLevelType w:val="hybridMultilevel"/>
    <w:tmpl w:val="FE665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A101E"/>
    <w:multiLevelType w:val="hybridMultilevel"/>
    <w:tmpl w:val="07C45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76DBD"/>
    <w:multiLevelType w:val="hybridMultilevel"/>
    <w:tmpl w:val="54E0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E93A3A"/>
    <w:multiLevelType w:val="hybridMultilevel"/>
    <w:tmpl w:val="220ED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E612EA"/>
    <w:multiLevelType w:val="hybridMultilevel"/>
    <w:tmpl w:val="78C6DEEC"/>
    <w:lvl w:ilvl="0" w:tplc="A1D85FCA">
      <w:start w:val="1"/>
      <w:numFmt w:val="bullet"/>
      <w:lvlText w:val=""/>
      <w:lvlJc w:val="left"/>
      <w:pPr>
        <w:ind w:left="720" w:hanging="360"/>
      </w:pPr>
      <w:rPr>
        <w:rFonts w:ascii="Symbol" w:hAnsi="Symbol" w:hint="default"/>
      </w:rPr>
    </w:lvl>
    <w:lvl w:ilvl="1" w:tplc="28E09BBC">
      <w:start w:val="1"/>
      <w:numFmt w:val="bullet"/>
      <w:lvlText w:val="o"/>
      <w:lvlJc w:val="left"/>
      <w:pPr>
        <w:ind w:left="1440" w:hanging="360"/>
      </w:pPr>
      <w:rPr>
        <w:rFonts w:ascii="Courier New" w:hAnsi="Courier New" w:hint="default"/>
      </w:rPr>
    </w:lvl>
    <w:lvl w:ilvl="2" w:tplc="12F6D54C">
      <w:start w:val="1"/>
      <w:numFmt w:val="bullet"/>
      <w:lvlText w:val=""/>
      <w:lvlJc w:val="left"/>
      <w:pPr>
        <w:ind w:left="2160" w:hanging="360"/>
      </w:pPr>
      <w:rPr>
        <w:rFonts w:ascii="Wingdings" w:hAnsi="Wingdings" w:hint="default"/>
      </w:rPr>
    </w:lvl>
    <w:lvl w:ilvl="3" w:tplc="6DF823F8">
      <w:start w:val="1"/>
      <w:numFmt w:val="bullet"/>
      <w:lvlText w:val=""/>
      <w:lvlJc w:val="left"/>
      <w:pPr>
        <w:ind w:left="2880" w:hanging="360"/>
      </w:pPr>
      <w:rPr>
        <w:rFonts w:ascii="Symbol" w:hAnsi="Symbol" w:hint="default"/>
      </w:rPr>
    </w:lvl>
    <w:lvl w:ilvl="4" w:tplc="23FCEA3C">
      <w:start w:val="1"/>
      <w:numFmt w:val="bullet"/>
      <w:lvlText w:val="o"/>
      <w:lvlJc w:val="left"/>
      <w:pPr>
        <w:ind w:left="3600" w:hanging="360"/>
      </w:pPr>
      <w:rPr>
        <w:rFonts w:ascii="Courier New" w:hAnsi="Courier New" w:hint="default"/>
      </w:rPr>
    </w:lvl>
    <w:lvl w:ilvl="5" w:tplc="BB3A3A0E">
      <w:start w:val="1"/>
      <w:numFmt w:val="bullet"/>
      <w:lvlText w:val=""/>
      <w:lvlJc w:val="left"/>
      <w:pPr>
        <w:ind w:left="4320" w:hanging="360"/>
      </w:pPr>
      <w:rPr>
        <w:rFonts w:ascii="Wingdings" w:hAnsi="Wingdings" w:hint="default"/>
      </w:rPr>
    </w:lvl>
    <w:lvl w:ilvl="6" w:tplc="B9D244BA">
      <w:start w:val="1"/>
      <w:numFmt w:val="bullet"/>
      <w:lvlText w:val=""/>
      <w:lvlJc w:val="left"/>
      <w:pPr>
        <w:ind w:left="5040" w:hanging="360"/>
      </w:pPr>
      <w:rPr>
        <w:rFonts w:ascii="Symbol" w:hAnsi="Symbol" w:hint="default"/>
      </w:rPr>
    </w:lvl>
    <w:lvl w:ilvl="7" w:tplc="2076BD56">
      <w:start w:val="1"/>
      <w:numFmt w:val="bullet"/>
      <w:lvlText w:val="o"/>
      <w:lvlJc w:val="left"/>
      <w:pPr>
        <w:ind w:left="5760" w:hanging="360"/>
      </w:pPr>
      <w:rPr>
        <w:rFonts w:ascii="Courier New" w:hAnsi="Courier New" w:hint="default"/>
      </w:rPr>
    </w:lvl>
    <w:lvl w:ilvl="8" w:tplc="19A2BF70">
      <w:start w:val="1"/>
      <w:numFmt w:val="bullet"/>
      <w:lvlText w:val=""/>
      <w:lvlJc w:val="left"/>
      <w:pPr>
        <w:ind w:left="6480" w:hanging="360"/>
      </w:pPr>
      <w:rPr>
        <w:rFonts w:ascii="Wingdings" w:hAnsi="Wingdings" w:hint="default"/>
      </w:rPr>
    </w:lvl>
  </w:abstractNum>
  <w:abstractNum w:abstractNumId="11" w15:restartNumberingAfterBreak="0">
    <w:nsid w:val="583B1CC5"/>
    <w:multiLevelType w:val="hybridMultilevel"/>
    <w:tmpl w:val="F5766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C706F70"/>
    <w:multiLevelType w:val="hybridMultilevel"/>
    <w:tmpl w:val="FBFE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372546"/>
    <w:multiLevelType w:val="hybridMultilevel"/>
    <w:tmpl w:val="6C94F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6F63CC0"/>
    <w:multiLevelType w:val="hybridMultilevel"/>
    <w:tmpl w:val="97620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40FB2"/>
    <w:multiLevelType w:val="hybridMultilevel"/>
    <w:tmpl w:val="8B0A6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AA5662"/>
    <w:multiLevelType w:val="hybridMultilevel"/>
    <w:tmpl w:val="888C0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D35D42"/>
    <w:multiLevelType w:val="hybridMultilevel"/>
    <w:tmpl w:val="FC18C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15"/>
  </w:num>
  <w:num w:numId="4">
    <w:abstractNumId w:val="0"/>
  </w:num>
  <w:num w:numId="5">
    <w:abstractNumId w:val="8"/>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
  </w:num>
  <w:num w:numId="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4"/>
  </w:num>
  <w:num w:numId="12">
    <w:abstractNumId w:val="16"/>
  </w:num>
  <w:num w:numId="13">
    <w:abstractNumId w:val="9"/>
  </w:num>
  <w:num w:numId="14">
    <w:abstractNumId w:val="11"/>
  </w:num>
  <w:num w:numId="15">
    <w:abstractNumId w:val="5"/>
  </w:num>
  <w:num w:numId="16">
    <w:abstractNumId w:val="3"/>
  </w:num>
  <w:num w:numId="17">
    <w:abstractNumId w:val="12"/>
  </w:num>
  <w:num w:numId="18">
    <w:abstractNumId w:val="6"/>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7D"/>
    <w:rsid w:val="00013B62"/>
    <w:rsid w:val="00052A00"/>
    <w:rsid w:val="00114A85"/>
    <w:rsid w:val="001221D3"/>
    <w:rsid w:val="0018087D"/>
    <w:rsid w:val="001962A3"/>
    <w:rsid w:val="001E3C99"/>
    <w:rsid w:val="00316960"/>
    <w:rsid w:val="003B7C6A"/>
    <w:rsid w:val="003E5224"/>
    <w:rsid w:val="003F3741"/>
    <w:rsid w:val="0040553C"/>
    <w:rsid w:val="004243BA"/>
    <w:rsid w:val="004303F1"/>
    <w:rsid w:val="004436F9"/>
    <w:rsid w:val="004644CB"/>
    <w:rsid w:val="005166DE"/>
    <w:rsid w:val="006A430E"/>
    <w:rsid w:val="00707433"/>
    <w:rsid w:val="0077701F"/>
    <w:rsid w:val="00777D76"/>
    <w:rsid w:val="007B7242"/>
    <w:rsid w:val="007C69FA"/>
    <w:rsid w:val="00851EE1"/>
    <w:rsid w:val="008D636A"/>
    <w:rsid w:val="008E3338"/>
    <w:rsid w:val="009440AA"/>
    <w:rsid w:val="00980766"/>
    <w:rsid w:val="00993BDD"/>
    <w:rsid w:val="009A22A7"/>
    <w:rsid w:val="009B226D"/>
    <w:rsid w:val="009E3324"/>
    <w:rsid w:val="00A15B9F"/>
    <w:rsid w:val="00A31D8F"/>
    <w:rsid w:val="00A70AE8"/>
    <w:rsid w:val="00B54020"/>
    <w:rsid w:val="00D01973"/>
    <w:rsid w:val="00D66F73"/>
    <w:rsid w:val="00DB5DF5"/>
    <w:rsid w:val="00DC5F48"/>
    <w:rsid w:val="00DE2D81"/>
    <w:rsid w:val="00DF22CE"/>
    <w:rsid w:val="00E43020"/>
    <w:rsid w:val="00E5420B"/>
    <w:rsid w:val="00EE0407"/>
    <w:rsid w:val="00F341DE"/>
    <w:rsid w:val="00F57750"/>
    <w:rsid w:val="00FB06E0"/>
    <w:rsid w:val="00FE49E7"/>
    <w:rsid w:val="129F82AC"/>
    <w:rsid w:val="1333B14D"/>
    <w:rsid w:val="202679BA"/>
    <w:rsid w:val="2357ADE5"/>
    <w:rsid w:val="33B180F5"/>
    <w:rsid w:val="3DD560CD"/>
    <w:rsid w:val="40AF743B"/>
    <w:rsid w:val="4DBAD3D6"/>
    <w:rsid w:val="4DF5FDE6"/>
    <w:rsid w:val="5812CACB"/>
    <w:rsid w:val="5C78169C"/>
    <w:rsid w:val="5D0F9D51"/>
    <w:rsid w:val="5E57C30C"/>
    <w:rsid w:val="6DB2C892"/>
    <w:rsid w:val="70173970"/>
    <w:rsid w:val="7EFA2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D834"/>
  <w15:chartTrackingRefBased/>
  <w15:docId w15:val="{CFA8AA4B-CECC-417B-8CFC-ACA028AE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ACE Normal"/>
    <w:qFormat/>
    <w:rsid w:val="0018087D"/>
    <w:pPr>
      <w:spacing w:after="240" w:line="240" w:lineRule="auto"/>
    </w:pPr>
    <w:rPr>
      <w:rFonts w:ascii="GE Inspira Book" w:eastAsia="Times New Roman" w:hAnsi="GE Inspira Book" w:cs="Times New Roman"/>
      <w:sz w:val="24"/>
      <w:szCs w:val="24"/>
    </w:rPr>
  </w:style>
  <w:style w:type="paragraph" w:styleId="Heading1">
    <w:name w:val="heading 1"/>
    <w:basedOn w:val="Normal"/>
    <w:next w:val="Normal"/>
    <w:link w:val="Heading1Char"/>
    <w:qFormat/>
    <w:rsid w:val="0018087D"/>
    <w:pPr>
      <w:keepNext/>
      <w:numPr>
        <w:numId w:val="4"/>
      </w:numPr>
      <w:tabs>
        <w:tab w:val="left" w:pos="432"/>
      </w:tabs>
      <w:spacing w:before="200" w:after="120"/>
      <w:outlineLvl w:val="0"/>
    </w:pPr>
    <w:rPr>
      <w:b/>
      <w:caps/>
    </w:rPr>
  </w:style>
  <w:style w:type="paragraph" w:styleId="Heading2">
    <w:name w:val="heading 2"/>
    <w:basedOn w:val="Heading1"/>
    <w:next w:val="Normal"/>
    <w:link w:val="Heading2Char"/>
    <w:qFormat/>
    <w:rsid w:val="0018087D"/>
    <w:pPr>
      <w:numPr>
        <w:ilvl w:val="1"/>
      </w:numPr>
      <w:tabs>
        <w:tab w:val="clear" w:pos="432"/>
        <w:tab w:val="left" w:pos="576"/>
      </w:tabs>
      <w:outlineLvl w:val="1"/>
    </w:pPr>
    <w:rPr>
      <w:caps w:val="0"/>
    </w:rPr>
  </w:style>
  <w:style w:type="paragraph" w:styleId="Heading3">
    <w:name w:val="heading 3"/>
    <w:basedOn w:val="Heading1"/>
    <w:next w:val="Normal"/>
    <w:link w:val="Heading3Char"/>
    <w:autoRedefine/>
    <w:qFormat/>
    <w:rsid w:val="0018087D"/>
    <w:pPr>
      <w:numPr>
        <w:ilvl w:val="2"/>
      </w:numPr>
      <w:tabs>
        <w:tab w:val="clear" w:pos="432"/>
        <w:tab w:val="left" w:pos="720"/>
      </w:tabs>
      <w:outlineLvl w:val="2"/>
    </w:pPr>
    <w:rPr>
      <w:i/>
      <w:caps w:val="0"/>
    </w:rPr>
  </w:style>
  <w:style w:type="paragraph" w:styleId="Heading4">
    <w:name w:val="heading 4"/>
    <w:basedOn w:val="Heading3"/>
    <w:next w:val="Normal"/>
    <w:link w:val="Heading4Char"/>
    <w:qFormat/>
    <w:rsid w:val="0018087D"/>
    <w:pPr>
      <w:numPr>
        <w:ilvl w:val="3"/>
      </w:numPr>
      <w:tabs>
        <w:tab w:val="left" w:pos="864"/>
      </w:tabs>
      <w:outlineLvl w:val="3"/>
    </w:pPr>
  </w:style>
  <w:style w:type="paragraph" w:styleId="Heading5">
    <w:name w:val="heading 5"/>
    <w:basedOn w:val="Heading3"/>
    <w:next w:val="Normal"/>
    <w:link w:val="Heading5Char"/>
    <w:qFormat/>
    <w:rsid w:val="0018087D"/>
    <w:pPr>
      <w:numPr>
        <w:ilvl w:val="4"/>
      </w:numPr>
      <w:tabs>
        <w:tab w:val="left" w:pos="1008"/>
      </w:tabs>
      <w:outlineLvl w:val="4"/>
    </w:pPr>
  </w:style>
  <w:style w:type="paragraph" w:styleId="Heading6">
    <w:name w:val="heading 6"/>
    <w:basedOn w:val="Heading3"/>
    <w:next w:val="Normal"/>
    <w:link w:val="Heading6Char"/>
    <w:qFormat/>
    <w:rsid w:val="0018087D"/>
    <w:pPr>
      <w:numPr>
        <w:ilvl w:val="5"/>
      </w:numPr>
      <w:tabs>
        <w:tab w:val="left" w:pos="1152"/>
      </w:tabs>
      <w:outlineLvl w:val="5"/>
    </w:pPr>
  </w:style>
  <w:style w:type="paragraph" w:styleId="Heading7">
    <w:name w:val="heading 7"/>
    <w:basedOn w:val="Heading3"/>
    <w:next w:val="Normal"/>
    <w:link w:val="Heading7Char"/>
    <w:qFormat/>
    <w:rsid w:val="0018087D"/>
    <w:pPr>
      <w:numPr>
        <w:ilvl w:val="6"/>
      </w:numPr>
      <w:tabs>
        <w:tab w:val="left" w:pos="1440"/>
      </w:tabs>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ACE List Paragraph"/>
    <w:basedOn w:val="Normal"/>
    <w:uiPriority w:val="34"/>
    <w:qFormat/>
    <w:rsid w:val="0018087D"/>
    <w:pPr>
      <w:ind w:left="720"/>
      <w:contextualSpacing/>
    </w:pPr>
  </w:style>
  <w:style w:type="character" w:customStyle="1" w:styleId="Heading1Char">
    <w:name w:val="Heading 1 Char"/>
    <w:basedOn w:val="DefaultParagraphFont"/>
    <w:link w:val="Heading1"/>
    <w:rsid w:val="0018087D"/>
    <w:rPr>
      <w:rFonts w:ascii="GE Inspira Book" w:eastAsia="Times New Roman" w:hAnsi="GE Inspira Book" w:cs="Times New Roman"/>
      <w:b/>
      <w:caps/>
      <w:sz w:val="24"/>
      <w:szCs w:val="24"/>
    </w:rPr>
  </w:style>
  <w:style w:type="character" w:customStyle="1" w:styleId="Heading2Char">
    <w:name w:val="Heading 2 Char"/>
    <w:basedOn w:val="DefaultParagraphFont"/>
    <w:link w:val="Heading2"/>
    <w:rsid w:val="0018087D"/>
    <w:rPr>
      <w:rFonts w:ascii="GE Inspira Book" w:eastAsia="Times New Roman" w:hAnsi="GE Inspira Book" w:cs="Times New Roman"/>
      <w:b/>
      <w:sz w:val="24"/>
      <w:szCs w:val="24"/>
    </w:rPr>
  </w:style>
  <w:style w:type="character" w:customStyle="1" w:styleId="Heading3Char">
    <w:name w:val="Heading 3 Char"/>
    <w:basedOn w:val="DefaultParagraphFont"/>
    <w:link w:val="Heading3"/>
    <w:rsid w:val="0018087D"/>
    <w:rPr>
      <w:rFonts w:ascii="GE Inspira Book" w:eastAsia="Times New Roman" w:hAnsi="GE Inspira Book" w:cs="Times New Roman"/>
      <w:b/>
      <w:i/>
      <w:sz w:val="24"/>
      <w:szCs w:val="24"/>
    </w:rPr>
  </w:style>
  <w:style w:type="character" w:customStyle="1" w:styleId="Heading4Char">
    <w:name w:val="Heading 4 Char"/>
    <w:basedOn w:val="DefaultParagraphFont"/>
    <w:link w:val="Heading4"/>
    <w:rsid w:val="0018087D"/>
    <w:rPr>
      <w:rFonts w:ascii="GE Inspira Book" w:eastAsia="Times New Roman" w:hAnsi="GE Inspira Book" w:cs="Times New Roman"/>
      <w:b/>
      <w:i/>
      <w:sz w:val="24"/>
      <w:szCs w:val="24"/>
    </w:rPr>
  </w:style>
  <w:style w:type="character" w:customStyle="1" w:styleId="Heading5Char">
    <w:name w:val="Heading 5 Char"/>
    <w:basedOn w:val="DefaultParagraphFont"/>
    <w:link w:val="Heading5"/>
    <w:rsid w:val="0018087D"/>
    <w:rPr>
      <w:rFonts w:ascii="GE Inspira Book" w:eastAsia="Times New Roman" w:hAnsi="GE Inspira Book" w:cs="Times New Roman"/>
      <w:b/>
      <w:i/>
      <w:sz w:val="24"/>
      <w:szCs w:val="24"/>
    </w:rPr>
  </w:style>
  <w:style w:type="character" w:customStyle="1" w:styleId="Heading6Char">
    <w:name w:val="Heading 6 Char"/>
    <w:basedOn w:val="DefaultParagraphFont"/>
    <w:link w:val="Heading6"/>
    <w:rsid w:val="0018087D"/>
    <w:rPr>
      <w:rFonts w:ascii="GE Inspira Book" w:eastAsia="Times New Roman" w:hAnsi="GE Inspira Book" w:cs="Times New Roman"/>
      <w:b/>
      <w:i/>
      <w:sz w:val="24"/>
      <w:szCs w:val="24"/>
    </w:rPr>
  </w:style>
  <w:style w:type="character" w:customStyle="1" w:styleId="Heading7Char">
    <w:name w:val="Heading 7 Char"/>
    <w:basedOn w:val="DefaultParagraphFont"/>
    <w:link w:val="Heading7"/>
    <w:rsid w:val="0018087D"/>
    <w:rPr>
      <w:rFonts w:ascii="GE Inspira Book" w:eastAsia="Times New Roman" w:hAnsi="GE Inspira Book" w:cs="Times New Roman"/>
      <w:b/>
      <w:i/>
      <w:sz w:val="24"/>
      <w:szCs w:val="24"/>
    </w:rPr>
  </w:style>
  <w:style w:type="paragraph" w:styleId="Caption">
    <w:name w:val="caption"/>
    <w:aliases w:val="ACE Caption"/>
    <w:basedOn w:val="Normal"/>
    <w:next w:val="Normal"/>
    <w:uiPriority w:val="35"/>
    <w:qFormat/>
    <w:rsid w:val="0018087D"/>
    <w:pPr>
      <w:spacing w:before="120" w:after="120"/>
      <w:jc w:val="center"/>
    </w:pPr>
  </w:style>
  <w:style w:type="paragraph" w:styleId="NoSpacing">
    <w:name w:val="No Spacing"/>
    <w:aliases w:val="ACE No Spacing"/>
    <w:uiPriority w:val="1"/>
    <w:qFormat/>
    <w:rsid w:val="0018087D"/>
    <w:pPr>
      <w:spacing w:after="0" w:line="240" w:lineRule="auto"/>
    </w:pPr>
    <w:rPr>
      <w:rFonts w:ascii="GE Inspira Book" w:eastAsia="Times New Roman" w:hAnsi="GE Inspira Book" w:cs="Times New Roman"/>
      <w:szCs w:val="24"/>
    </w:rPr>
  </w:style>
  <w:style w:type="paragraph" w:styleId="Header">
    <w:name w:val="header"/>
    <w:basedOn w:val="Normal"/>
    <w:link w:val="HeaderChar"/>
    <w:uiPriority w:val="99"/>
    <w:unhideWhenUsed/>
    <w:rsid w:val="0018087D"/>
    <w:pPr>
      <w:tabs>
        <w:tab w:val="center" w:pos="4680"/>
        <w:tab w:val="right" w:pos="9360"/>
      </w:tabs>
      <w:spacing w:after="0"/>
    </w:pPr>
  </w:style>
  <w:style w:type="character" w:customStyle="1" w:styleId="HeaderChar">
    <w:name w:val="Header Char"/>
    <w:basedOn w:val="DefaultParagraphFont"/>
    <w:link w:val="Header"/>
    <w:uiPriority w:val="99"/>
    <w:rsid w:val="0018087D"/>
    <w:rPr>
      <w:rFonts w:ascii="GE Inspira Book" w:eastAsia="Times New Roman" w:hAnsi="GE Inspira Book" w:cs="Times New Roman"/>
      <w:sz w:val="24"/>
      <w:szCs w:val="24"/>
    </w:rPr>
  </w:style>
  <w:style w:type="paragraph" w:styleId="Footer">
    <w:name w:val="footer"/>
    <w:basedOn w:val="Normal"/>
    <w:link w:val="FooterChar"/>
    <w:uiPriority w:val="99"/>
    <w:unhideWhenUsed/>
    <w:rsid w:val="0018087D"/>
    <w:pPr>
      <w:tabs>
        <w:tab w:val="center" w:pos="4680"/>
        <w:tab w:val="right" w:pos="9360"/>
      </w:tabs>
      <w:spacing w:after="0"/>
    </w:pPr>
  </w:style>
  <w:style w:type="character" w:customStyle="1" w:styleId="FooterChar">
    <w:name w:val="Footer Char"/>
    <w:basedOn w:val="DefaultParagraphFont"/>
    <w:link w:val="Footer"/>
    <w:uiPriority w:val="99"/>
    <w:rsid w:val="0018087D"/>
    <w:rPr>
      <w:rFonts w:ascii="GE Inspira Book" w:eastAsia="Times New Roman" w:hAnsi="GE Inspira Book" w:cs="Times New Roman"/>
      <w:sz w:val="24"/>
      <w:szCs w:val="24"/>
    </w:r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7C69FA"/>
    <w:rPr>
      <w:color w:val="808080"/>
      <w:shd w:val="clear" w:color="auto" w:fill="E6E6E6"/>
    </w:rPr>
  </w:style>
  <w:style w:type="table" w:styleId="GridTable4-Accent1">
    <w:name w:val="Grid Table 4 Accent 1"/>
    <w:basedOn w:val="TableNormal"/>
    <w:uiPriority w:val="49"/>
    <w:rsid w:val="00FB06E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4104">
      <w:bodyDiv w:val="1"/>
      <w:marLeft w:val="0"/>
      <w:marRight w:val="0"/>
      <w:marTop w:val="0"/>
      <w:marBottom w:val="0"/>
      <w:divBdr>
        <w:top w:val="none" w:sz="0" w:space="0" w:color="auto"/>
        <w:left w:val="none" w:sz="0" w:space="0" w:color="auto"/>
        <w:bottom w:val="none" w:sz="0" w:space="0" w:color="auto"/>
        <w:right w:val="none" w:sz="0" w:space="0" w:color="auto"/>
      </w:divBdr>
    </w:div>
    <w:div w:id="393965832">
      <w:bodyDiv w:val="1"/>
      <w:marLeft w:val="0"/>
      <w:marRight w:val="0"/>
      <w:marTop w:val="0"/>
      <w:marBottom w:val="0"/>
      <w:divBdr>
        <w:top w:val="none" w:sz="0" w:space="0" w:color="auto"/>
        <w:left w:val="none" w:sz="0" w:space="0" w:color="auto"/>
        <w:bottom w:val="none" w:sz="0" w:space="0" w:color="auto"/>
        <w:right w:val="none" w:sz="0" w:space="0" w:color="auto"/>
      </w:divBdr>
    </w:div>
    <w:div w:id="576475712">
      <w:bodyDiv w:val="1"/>
      <w:marLeft w:val="0"/>
      <w:marRight w:val="0"/>
      <w:marTop w:val="0"/>
      <w:marBottom w:val="0"/>
      <w:divBdr>
        <w:top w:val="none" w:sz="0" w:space="0" w:color="auto"/>
        <w:left w:val="none" w:sz="0" w:space="0" w:color="auto"/>
        <w:bottom w:val="none" w:sz="0" w:space="0" w:color="auto"/>
        <w:right w:val="none" w:sz="0" w:space="0" w:color="auto"/>
      </w:divBdr>
    </w:div>
    <w:div w:id="672032733">
      <w:bodyDiv w:val="1"/>
      <w:marLeft w:val="0"/>
      <w:marRight w:val="0"/>
      <w:marTop w:val="0"/>
      <w:marBottom w:val="0"/>
      <w:divBdr>
        <w:top w:val="none" w:sz="0" w:space="0" w:color="auto"/>
        <w:left w:val="none" w:sz="0" w:space="0" w:color="auto"/>
        <w:bottom w:val="none" w:sz="0" w:space="0" w:color="auto"/>
        <w:right w:val="none" w:sz="0" w:space="0" w:color="auto"/>
      </w:divBdr>
    </w:div>
    <w:div w:id="782267807">
      <w:bodyDiv w:val="1"/>
      <w:marLeft w:val="0"/>
      <w:marRight w:val="0"/>
      <w:marTop w:val="0"/>
      <w:marBottom w:val="0"/>
      <w:divBdr>
        <w:top w:val="none" w:sz="0" w:space="0" w:color="auto"/>
        <w:left w:val="none" w:sz="0" w:space="0" w:color="auto"/>
        <w:bottom w:val="none" w:sz="0" w:space="0" w:color="auto"/>
        <w:right w:val="none" w:sz="0" w:space="0" w:color="auto"/>
      </w:divBdr>
    </w:div>
    <w:div w:id="959454288">
      <w:bodyDiv w:val="1"/>
      <w:marLeft w:val="0"/>
      <w:marRight w:val="0"/>
      <w:marTop w:val="0"/>
      <w:marBottom w:val="0"/>
      <w:divBdr>
        <w:top w:val="none" w:sz="0" w:space="0" w:color="auto"/>
        <w:left w:val="none" w:sz="0" w:space="0" w:color="auto"/>
        <w:bottom w:val="none" w:sz="0" w:space="0" w:color="auto"/>
        <w:right w:val="none" w:sz="0" w:space="0" w:color="auto"/>
      </w:divBdr>
    </w:div>
    <w:div w:id="971178490">
      <w:bodyDiv w:val="1"/>
      <w:marLeft w:val="0"/>
      <w:marRight w:val="0"/>
      <w:marTop w:val="0"/>
      <w:marBottom w:val="0"/>
      <w:divBdr>
        <w:top w:val="none" w:sz="0" w:space="0" w:color="auto"/>
        <w:left w:val="none" w:sz="0" w:space="0" w:color="auto"/>
        <w:bottom w:val="none" w:sz="0" w:space="0" w:color="auto"/>
        <w:right w:val="none" w:sz="0" w:space="0" w:color="auto"/>
      </w:divBdr>
    </w:div>
    <w:div w:id="1232733300">
      <w:bodyDiv w:val="1"/>
      <w:marLeft w:val="0"/>
      <w:marRight w:val="0"/>
      <w:marTop w:val="0"/>
      <w:marBottom w:val="0"/>
      <w:divBdr>
        <w:top w:val="none" w:sz="0" w:space="0" w:color="auto"/>
        <w:left w:val="none" w:sz="0" w:space="0" w:color="auto"/>
        <w:bottom w:val="none" w:sz="0" w:space="0" w:color="auto"/>
        <w:right w:val="none" w:sz="0" w:space="0" w:color="auto"/>
      </w:divBdr>
    </w:div>
    <w:div w:id="1764717053">
      <w:bodyDiv w:val="1"/>
      <w:marLeft w:val="0"/>
      <w:marRight w:val="0"/>
      <w:marTop w:val="0"/>
      <w:marBottom w:val="0"/>
      <w:divBdr>
        <w:top w:val="none" w:sz="0" w:space="0" w:color="auto"/>
        <w:left w:val="none" w:sz="0" w:space="0" w:color="auto"/>
        <w:bottom w:val="none" w:sz="0" w:space="0" w:color="auto"/>
        <w:right w:val="none" w:sz="0" w:space="0" w:color="auto"/>
      </w:divBdr>
    </w:div>
    <w:div w:id="178954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212336869\Downloads\teamlosdatos.wixsite.com\studentloan" TargetMode="External"/><Relationship Id="rId13" Type="http://schemas.openxmlformats.org/officeDocument/2006/relationships/hyperlink" Target="https://www.brookings.edu/wp-content/uploads/2015/09/LooneyTextFall15BPEA.pdf"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iepr.stanford.edu/sites/default/files/publications/PolicyBrief-July16.pdf"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miltonproject.org/assets/files/risk_sharing_proposal_student_loans_pp.pdf"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brookings.edu/research/the-student-loan-crisis-a-look-at-the-data"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teamlosdatos@gmail.com" TargetMode="External"/><Relationship Id="rId14" Type="http://schemas.microsoft.com/office/2014/relationships/chartEx" Target="charts/chartEx1.xml"/><Relationship Id="rId22" Type="http://schemas.openxmlformats.org/officeDocument/2006/relationships/header" Target="header2.xml"/><Relationship Id="rId27"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Users\212567051\Documents\Desktop\Edison\University\DataMining\Midterm\frb_01_overall.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Classification!$E$2:$E$4998</cx:f>
        <cx:lvl ptCount="4997" formatCode="General">
          <cx:pt idx="0">0.375</cx:pt>
          <cx:pt idx="1">0.5625</cx:pt>
          <cx:pt idx="2">0.625</cx:pt>
          <cx:pt idx="3">0.375</cx:pt>
          <cx:pt idx="4">0.5625</cx:pt>
          <cx:pt idx="5">0.25</cx:pt>
          <cx:pt idx="6">0.75</cx:pt>
          <cx:pt idx="7">0.75</cx:pt>
          <cx:pt idx="8">0.625</cx:pt>
          <cx:pt idx="9">0.625</cx:pt>
          <cx:pt idx="10">0.6875</cx:pt>
          <cx:pt idx="11">0.5625</cx:pt>
          <cx:pt idx="12">0.4375</cx:pt>
          <cx:pt idx="13">0.4375</cx:pt>
          <cx:pt idx="14">0.5</cx:pt>
          <cx:pt idx="15">0.4375</cx:pt>
          <cx:pt idx="16">0.8125</cx:pt>
          <cx:pt idx="17">0.3125</cx:pt>
          <cx:pt idx="18">0.375</cx:pt>
          <cx:pt idx="19">0.625</cx:pt>
          <cx:pt idx="20">0.4375</cx:pt>
          <cx:pt idx="21">0.8125</cx:pt>
          <cx:pt idx="22">0.625</cx:pt>
          <cx:pt idx="23">0.75</cx:pt>
          <cx:pt idx="24">0.25</cx:pt>
          <cx:pt idx="25">0.375</cx:pt>
          <cx:pt idx="26">0.5</cx:pt>
          <cx:pt idx="27">0.375</cx:pt>
          <cx:pt idx="28">0.625</cx:pt>
          <cx:pt idx="29">0.5</cx:pt>
          <cx:pt idx="30">0.4375</cx:pt>
          <cx:pt idx="31">0.375</cx:pt>
          <cx:pt idx="32">0.4375</cx:pt>
          <cx:pt idx="33">0.625</cx:pt>
          <cx:pt idx="34">0.75</cx:pt>
          <cx:pt idx="35">0.5625</cx:pt>
          <cx:pt idx="36">0.375</cx:pt>
          <cx:pt idx="37">0.625</cx:pt>
          <cx:pt idx="38">0.75</cx:pt>
          <cx:pt idx="39">0.8125</cx:pt>
          <cx:pt idx="40">0.5625</cx:pt>
          <cx:pt idx="41">0.5</cx:pt>
          <cx:pt idx="42">0.5</cx:pt>
          <cx:pt idx="43">0.5625</cx:pt>
          <cx:pt idx="44">0.625</cx:pt>
          <cx:pt idx="45">0.625</cx:pt>
          <cx:pt idx="46">0.6875</cx:pt>
          <cx:pt idx="47">0.3125</cx:pt>
          <cx:pt idx="48">0.25</cx:pt>
          <cx:pt idx="49">0.75</cx:pt>
          <cx:pt idx="50">0.6875</cx:pt>
          <cx:pt idx="51">0.5</cx:pt>
          <cx:pt idx="52">0.375</cx:pt>
          <cx:pt idx="53">0.5</cx:pt>
          <cx:pt idx="54">0.625</cx:pt>
          <cx:pt idx="55">0.6875</cx:pt>
          <cx:pt idx="56">0.5</cx:pt>
          <cx:pt idx="57">0.625</cx:pt>
          <cx:pt idx="58">0.8125</cx:pt>
          <cx:pt idx="59">0.5625</cx:pt>
          <cx:pt idx="60">0.875</cx:pt>
          <cx:pt idx="61">0.6875</cx:pt>
          <cx:pt idx="62">0.5625</cx:pt>
          <cx:pt idx="63">0.75</cx:pt>
          <cx:pt idx="64">0.75</cx:pt>
          <cx:pt idx="65">0.6875</cx:pt>
          <cx:pt idx="66">0.6875</cx:pt>
          <cx:pt idx="67">0.4375</cx:pt>
          <cx:pt idx="68">0.6875</cx:pt>
          <cx:pt idx="69">0.3125</cx:pt>
          <cx:pt idx="70">0.625</cx:pt>
          <cx:pt idx="71">0.625</cx:pt>
          <cx:pt idx="72">0.75</cx:pt>
          <cx:pt idx="73">0.6875</cx:pt>
          <cx:pt idx="74">0.625</cx:pt>
          <cx:pt idx="75">0.375</cx:pt>
          <cx:pt idx="76">0.6875</cx:pt>
          <cx:pt idx="77">0.75</cx:pt>
          <cx:pt idx="78">0.5625</cx:pt>
          <cx:pt idx="79">0.1875</cx:pt>
          <cx:pt idx="80">0.625</cx:pt>
          <cx:pt idx="81">0.75</cx:pt>
          <cx:pt idx="82">0.6875</cx:pt>
          <cx:pt idx="83">0.4375</cx:pt>
          <cx:pt idx="84">0.5625</cx:pt>
          <cx:pt idx="85">0.5625</cx:pt>
          <cx:pt idx="86">0.6875</cx:pt>
          <cx:pt idx="87">0.5</cx:pt>
          <cx:pt idx="88">0.6875</cx:pt>
          <cx:pt idx="89">0.8125</cx:pt>
          <cx:pt idx="90">0.75</cx:pt>
          <cx:pt idx="91">0.5625</cx:pt>
          <cx:pt idx="92">0.75</cx:pt>
          <cx:pt idx="93">0.3125</cx:pt>
          <cx:pt idx="94">0.3125</cx:pt>
          <cx:pt idx="95">0.25</cx:pt>
          <cx:pt idx="96">0.8125</cx:pt>
          <cx:pt idx="97">0.75</cx:pt>
          <cx:pt idx="98">0.5625</cx:pt>
          <cx:pt idx="99">0.625</cx:pt>
          <cx:pt idx="100">0.375</cx:pt>
          <cx:pt idx="101">0.625</cx:pt>
          <cx:pt idx="102">0.5</cx:pt>
          <cx:pt idx="103">0.625</cx:pt>
          <cx:pt idx="104">0.3125</cx:pt>
          <cx:pt idx="105">0.75</cx:pt>
          <cx:pt idx="106">0.5625</cx:pt>
          <cx:pt idx="107">0.625</cx:pt>
          <cx:pt idx="108">0.625</cx:pt>
          <cx:pt idx="109">0.625</cx:pt>
          <cx:pt idx="110">0.6875</cx:pt>
          <cx:pt idx="111">0.75</cx:pt>
          <cx:pt idx="112">0.75</cx:pt>
          <cx:pt idx="113">0.4375</cx:pt>
          <cx:pt idx="114">0.5</cx:pt>
          <cx:pt idx="115">0.75</cx:pt>
          <cx:pt idx="116">0.75</cx:pt>
          <cx:pt idx="117">0.75</cx:pt>
          <cx:pt idx="118">0.6875</cx:pt>
          <cx:pt idx="119">0.8125</cx:pt>
          <cx:pt idx="120">0.4375</cx:pt>
          <cx:pt idx="121">0.75</cx:pt>
          <cx:pt idx="122">0.5625</cx:pt>
          <cx:pt idx="123">0.625</cx:pt>
          <cx:pt idx="124">0.6875</cx:pt>
          <cx:pt idx="125">0.875</cx:pt>
          <cx:pt idx="126">0.5</cx:pt>
          <cx:pt idx="127">0.5625</cx:pt>
          <cx:pt idx="128">0.5625</cx:pt>
          <cx:pt idx="129">0.375</cx:pt>
          <cx:pt idx="130">0.5625</cx:pt>
          <cx:pt idx="131">0.5625</cx:pt>
          <cx:pt idx="132">0.8125</cx:pt>
          <cx:pt idx="133">0.5</cx:pt>
          <cx:pt idx="134">0.625</cx:pt>
          <cx:pt idx="135">0.5</cx:pt>
          <cx:pt idx="136">0.75</cx:pt>
          <cx:pt idx="137">0.75</cx:pt>
          <cx:pt idx="138">0.5625</cx:pt>
          <cx:pt idx="139">0.5</cx:pt>
          <cx:pt idx="140">0.75</cx:pt>
          <cx:pt idx="141">0.6875</cx:pt>
          <cx:pt idx="142">0.625</cx:pt>
          <cx:pt idx="143">0.3125</cx:pt>
          <cx:pt idx="144">0.75</cx:pt>
          <cx:pt idx="145">0.625</cx:pt>
          <cx:pt idx="146">0.4375</cx:pt>
          <cx:pt idx="147">0.6875</cx:pt>
          <cx:pt idx="148">0.625</cx:pt>
          <cx:pt idx="149">0.625</cx:pt>
          <cx:pt idx="150">0.875</cx:pt>
          <cx:pt idx="151">0.375</cx:pt>
          <cx:pt idx="152">0.75</cx:pt>
          <cx:pt idx="153">0.4375</cx:pt>
          <cx:pt idx="154">0.75</cx:pt>
          <cx:pt idx="155">0.625</cx:pt>
          <cx:pt idx="156">0.4375</cx:pt>
          <cx:pt idx="157">0.4375</cx:pt>
          <cx:pt idx="158">0.625</cx:pt>
          <cx:pt idx="159">0.875</cx:pt>
          <cx:pt idx="160">0.5625</cx:pt>
          <cx:pt idx="161">0.5</cx:pt>
          <cx:pt idx="162">0.5625</cx:pt>
          <cx:pt idx="163">0.5</cx:pt>
          <cx:pt idx="164">0.6875</cx:pt>
          <cx:pt idx="165">0.875</cx:pt>
          <cx:pt idx="166">0.5625</cx:pt>
          <cx:pt idx="167">0.625</cx:pt>
          <cx:pt idx="168">0.6875</cx:pt>
          <cx:pt idx="169">0.5625</cx:pt>
          <cx:pt idx="170">0.3125</cx:pt>
          <cx:pt idx="171">0.6875</cx:pt>
          <cx:pt idx="172">0.625</cx:pt>
          <cx:pt idx="173">0.625</cx:pt>
          <cx:pt idx="174">0.5</cx:pt>
          <cx:pt idx="175">0.6875</cx:pt>
          <cx:pt idx="176">0.625</cx:pt>
          <cx:pt idx="177">0.375</cx:pt>
          <cx:pt idx="178">0.625</cx:pt>
          <cx:pt idx="179">0.6875</cx:pt>
          <cx:pt idx="180">0.4375</cx:pt>
          <cx:pt idx="181">0.3125</cx:pt>
          <cx:pt idx="182">0.625</cx:pt>
          <cx:pt idx="183">0.5</cx:pt>
          <cx:pt idx="184">0.5625</cx:pt>
          <cx:pt idx="185">0.4375</cx:pt>
          <cx:pt idx="186">0.5625</cx:pt>
          <cx:pt idx="187">0.5</cx:pt>
          <cx:pt idx="188">0.375</cx:pt>
          <cx:pt idx="189">0.4375</cx:pt>
          <cx:pt idx="190">0.5625</cx:pt>
          <cx:pt idx="191">0.625</cx:pt>
          <cx:pt idx="192">0.375</cx:pt>
          <cx:pt idx="193">0.625</cx:pt>
          <cx:pt idx="194">0.625</cx:pt>
          <cx:pt idx="195">0.4375</cx:pt>
          <cx:pt idx="196">0.5</cx:pt>
          <cx:pt idx="197">0.75</cx:pt>
          <cx:pt idx="198">0.5625</cx:pt>
          <cx:pt idx="199">0.375</cx:pt>
          <cx:pt idx="200">0.5625</cx:pt>
          <cx:pt idx="201">0.5</cx:pt>
          <cx:pt idx="202">0.625</cx:pt>
          <cx:pt idx="203">0.4375</cx:pt>
          <cx:pt idx="204">0.8125</cx:pt>
          <cx:pt idx="205">0.6875</cx:pt>
          <cx:pt idx="206">0.6875</cx:pt>
          <cx:pt idx="207">0.75</cx:pt>
          <cx:pt idx="208">0.8125</cx:pt>
          <cx:pt idx="209">0.5625</cx:pt>
          <cx:pt idx="210">0.5</cx:pt>
          <cx:pt idx="211">0.6875</cx:pt>
          <cx:pt idx="212">0.625</cx:pt>
          <cx:pt idx="213">0.625</cx:pt>
          <cx:pt idx="214">0.8125</cx:pt>
          <cx:pt idx="215">0.5</cx:pt>
          <cx:pt idx="216">0.8125</cx:pt>
          <cx:pt idx="217">0.8125</cx:pt>
          <cx:pt idx="218">0.5</cx:pt>
          <cx:pt idx="219">0.5625</cx:pt>
          <cx:pt idx="220">0.6875</cx:pt>
          <cx:pt idx="221">0.5625</cx:pt>
          <cx:pt idx="222">0.75</cx:pt>
          <cx:pt idx="223">0.75</cx:pt>
          <cx:pt idx="224">0.75</cx:pt>
          <cx:pt idx="225">0.5</cx:pt>
          <cx:pt idx="226">0.4375</cx:pt>
          <cx:pt idx="227">0.5625</cx:pt>
          <cx:pt idx="228">0.5625</cx:pt>
          <cx:pt idx="229">0.75</cx:pt>
          <cx:pt idx="230">0.625</cx:pt>
          <cx:pt idx="231">0.5</cx:pt>
          <cx:pt idx="232">0.5</cx:pt>
          <cx:pt idx="233">0.6875</cx:pt>
          <cx:pt idx="234">0.75</cx:pt>
          <cx:pt idx="235">0.75</cx:pt>
          <cx:pt idx="236">0.75</cx:pt>
          <cx:pt idx="237">0.8125</cx:pt>
          <cx:pt idx="238">0.5</cx:pt>
          <cx:pt idx="239">0.75</cx:pt>
          <cx:pt idx="240">0.6875</cx:pt>
          <cx:pt idx="241">0.4375</cx:pt>
          <cx:pt idx="242">0.625</cx:pt>
          <cx:pt idx="243">0.75</cx:pt>
          <cx:pt idx="244">0.6875</cx:pt>
          <cx:pt idx="245">0.6875</cx:pt>
          <cx:pt idx="246">0.6875</cx:pt>
          <cx:pt idx="247">0.6875</cx:pt>
          <cx:pt idx="248">0.875</cx:pt>
          <cx:pt idx="249">0.625</cx:pt>
          <cx:pt idx="250">0.6875</cx:pt>
          <cx:pt idx="251">0.5625</cx:pt>
          <cx:pt idx="252">0.8125</cx:pt>
          <cx:pt idx="253">0.75</cx:pt>
          <cx:pt idx="254">0.5625</cx:pt>
          <cx:pt idx="255">0.5</cx:pt>
          <cx:pt idx="256">0.75</cx:pt>
          <cx:pt idx="257">0.6875</cx:pt>
          <cx:pt idx="258">0.75</cx:pt>
          <cx:pt idx="259">0.5</cx:pt>
          <cx:pt idx="260">0.75</cx:pt>
          <cx:pt idx="261">0.5</cx:pt>
          <cx:pt idx="262">0.6875</cx:pt>
          <cx:pt idx="263">0.5625</cx:pt>
          <cx:pt idx="264">0.6875</cx:pt>
          <cx:pt idx="265">0.5625</cx:pt>
          <cx:pt idx="266">0.75</cx:pt>
          <cx:pt idx="267">0.75</cx:pt>
          <cx:pt idx="268">0.75</cx:pt>
          <cx:pt idx="269">0.625</cx:pt>
          <cx:pt idx="270">0.75</cx:pt>
          <cx:pt idx="271">0.6875</cx:pt>
          <cx:pt idx="272">0.8125</cx:pt>
          <cx:pt idx="273">0.8125</cx:pt>
          <cx:pt idx="274">0.75</cx:pt>
          <cx:pt idx="275">0.625</cx:pt>
          <cx:pt idx="276">0.8125</cx:pt>
          <cx:pt idx="277">0.4375</cx:pt>
          <cx:pt idx="278">0.5625</cx:pt>
          <cx:pt idx="279">0.75</cx:pt>
          <cx:pt idx="280">0.625</cx:pt>
          <cx:pt idx="281">0.75</cx:pt>
          <cx:pt idx="282">0.5625</cx:pt>
          <cx:pt idx="283">0.75</cx:pt>
          <cx:pt idx="284">0.625</cx:pt>
          <cx:pt idx="285">0.75</cx:pt>
          <cx:pt idx="286">0.8125</cx:pt>
          <cx:pt idx="287">0.8125</cx:pt>
          <cx:pt idx="288">0.25</cx:pt>
          <cx:pt idx="289">0.625</cx:pt>
          <cx:pt idx="290">0.5</cx:pt>
          <cx:pt idx="291">0.5625</cx:pt>
          <cx:pt idx="292">0.5</cx:pt>
          <cx:pt idx="293">0.5</cx:pt>
          <cx:pt idx="294">0.6875</cx:pt>
          <cx:pt idx="295">0.375</cx:pt>
          <cx:pt idx="296">0.5625</cx:pt>
          <cx:pt idx="297">0.75</cx:pt>
          <cx:pt idx="298">0.5</cx:pt>
          <cx:pt idx="299">0.3125</cx:pt>
          <cx:pt idx="300">0.625</cx:pt>
          <cx:pt idx="301">0.75</cx:pt>
          <cx:pt idx="302">0.3125</cx:pt>
          <cx:pt idx="303">0.6875</cx:pt>
          <cx:pt idx="304">0.375</cx:pt>
          <cx:pt idx="305">0.75</cx:pt>
          <cx:pt idx="306">0.3125</cx:pt>
          <cx:pt idx="307">0.625</cx:pt>
          <cx:pt idx="308">0.75</cx:pt>
          <cx:pt idx="309">0.5</cx:pt>
          <cx:pt idx="310">0.1875</cx:pt>
          <cx:pt idx="311">0.25</cx:pt>
          <cx:pt idx="312">0.75</cx:pt>
          <cx:pt idx="313">0.5</cx:pt>
          <cx:pt idx="314">0.75</cx:pt>
          <cx:pt idx="315">0.6875</cx:pt>
          <cx:pt idx="316">0.375</cx:pt>
          <cx:pt idx="317">0.625</cx:pt>
          <cx:pt idx="318">0.5</cx:pt>
          <cx:pt idx="319">0.375</cx:pt>
          <cx:pt idx="320">0.5625</cx:pt>
          <cx:pt idx="321">0.4375</cx:pt>
          <cx:pt idx="322">0.625</cx:pt>
          <cx:pt idx="323">0.4375</cx:pt>
          <cx:pt idx="324">0.75</cx:pt>
          <cx:pt idx="325">0.3125</cx:pt>
          <cx:pt idx="326">0.5625</cx:pt>
          <cx:pt idx="327">0.5</cx:pt>
          <cx:pt idx="328">0.5</cx:pt>
          <cx:pt idx="329">0.6875</cx:pt>
          <cx:pt idx="330">0.5625</cx:pt>
          <cx:pt idx="331">0.25</cx:pt>
          <cx:pt idx="332">0.375</cx:pt>
          <cx:pt idx="333">0.625</cx:pt>
          <cx:pt idx="334">0.75</cx:pt>
          <cx:pt idx="335">0.625</cx:pt>
          <cx:pt idx="336">0.25</cx:pt>
          <cx:pt idx="337">0.5625</cx:pt>
          <cx:pt idx="338">0.5625</cx:pt>
          <cx:pt idx="339">0.6875</cx:pt>
          <cx:pt idx="340">0.75</cx:pt>
          <cx:pt idx="341">0.375</cx:pt>
          <cx:pt idx="342">0.5625</cx:pt>
          <cx:pt idx="343">0.75</cx:pt>
          <cx:pt idx="344">0.75</cx:pt>
          <cx:pt idx="345">0.625</cx:pt>
          <cx:pt idx="346">0.5</cx:pt>
          <cx:pt idx="347">0.625</cx:pt>
          <cx:pt idx="348">0.6875</cx:pt>
          <cx:pt idx="349">0.5625</cx:pt>
          <cx:pt idx="350">0.1875</cx:pt>
          <cx:pt idx="351">0.625</cx:pt>
          <cx:pt idx="352">0.625</cx:pt>
          <cx:pt idx="353">0.625</cx:pt>
          <cx:pt idx="354">0.75</cx:pt>
          <cx:pt idx="355">0.625</cx:pt>
          <cx:pt idx="356">0.75</cx:pt>
          <cx:pt idx="357">0.4375</cx:pt>
          <cx:pt idx="358">0.5</cx:pt>
          <cx:pt idx="359">0.4375</cx:pt>
          <cx:pt idx="360">0.6875</cx:pt>
          <cx:pt idx="361">0.375</cx:pt>
          <cx:pt idx="362">0.5625</cx:pt>
          <cx:pt idx="363">0.3125</cx:pt>
          <cx:pt idx="364">0.5625</cx:pt>
          <cx:pt idx="365">0.5625</cx:pt>
          <cx:pt idx="366">0.75</cx:pt>
          <cx:pt idx="367">0.4375</cx:pt>
          <cx:pt idx="368">0.5625</cx:pt>
          <cx:pt idx="369">0.1875</cx:pt>
          <cx:pt idx="370">0.8125</cx:pt>
          <cx:pt idx="371">0.75</cx:pt>
          <cx:pt idx="372">0.5625</cx:pt>
          <cx:pt idx="373">0.3125</cx:pt>
          <cx:pt idx="374">0.625</cx:pt>
          <cx:pt idx="375">0.25</cx:pt>
          <cx:pt idx="376">0.5</cx:pt>
          <cx:pt idx="377">0.625</cx:pt>
          <cx:pt idx="378">0.5625</cx:pt>
          <cx:pt idx="379">0.75</cx:pt>
          <cx:pt idx="380">0.3125</cx:pt>
          <cx:pt idx="381">0.5</cx:pt>
          <cx:pt idx="382">0.375</cx:pt>
          <cx:pt idx="383">0.25</cx:pt>
          <cx:pt idx="384">0.75</cx:pt>
          <cx:pt idx="385">0.75</cx:pt>
          <cx:pt idx="386">0.25</cx:pt>
          <cx:pt idx="387">0.5</cx:pt>
          <cx:pt idx="388">0.75</cx:pt>
          <cx:pt idx="389">0.3125</cx:pt>
          <cx:pt idx="390">0.4375</cx:pt>
          <cx:pt idx="391">0.4375</cx:pt>
          <cx:pt idx="392">0.5</cx:pt>
          <cx:pt idx="393">0.625</cx:pt>
          <cx:pt idx="394">0.5625</cx:pt>
          <cx:pt idx="395">0.5</cx:pt>
          <cx:pt idx="396">0.3125</cx:pt>
          <cx:pt idx="397">0.375</cx:pt>
          <cx:pt idx="398">0.3125</cx:pt>
          <cx:pt idx="399">0.8125</cx:pt>
          <cx:pt idx="400">0.625</cx:pt>
          <cx:pt idx="401">0.6875</cx:pt>
          <cx:pt idx="402">0.6875</cx:pt>
          <cx:pt idx="403">0.75</cx:pt>
          <cx:pt idx="404">0.75</cx:pt>
          <cx:pt idx="405">0.75</cx:pt>
          <cx:pt idx="406">0.8125</cx:pt>
          <cx:pt idx="407">0.625</cx:pt>
          <cx:pt idx="408">0.5625</cx:pt>
          <cx:pt idx="409">0.3125</cx:pt>
          <cx:pt idx="410">0.75</cx:pt>
          <cx:pt idx="411">0.6875</cx:pt>
          <cx:pt idx="412">0.5</cx:pt>
          <cx:pt idx="413">0.5625</cx:pt>
          <cx:pt idx="414">0.8125</cx:pt>
          <cx:pt idx="415">0.625</cx:pt>
          <cx:pt idx="416">0.8125</cx:pt>
          <cx:pt idx="417">0.375</cx:pt>
          <cx:pt idx="418">0.5625</cx:pt>
          <cx:pt idx="419">0.75</cx:pt>
          <cx:pt idx="420">0.6875</cx:pt>
          <cx:pt idx="421">0.75</cx:pt>
          <cx:pt idx="422">0.75</cx:pt>
          <cx:pt idx="423">0.6875</cx:pt>
          <cx:pt idx="424">0.625</cx:pt>
          <cx:pt idx="425">0.625</cx:pt>
          <cx:pt idx="426">0.75</cx:pt>
          <cx:pt idx="427">0.75</cx:pt>
          <cx:pt idx="428">0.6875</cx:pt>
          <cx:pt idx="429">0.625</cx:pt>
          <cx:pt idx="430">0.75</cx:pt>
          <cx:pt idx="431">0.875</cx:pt>
          <cx:pt idx="432">0.75</cx:pt>
          <cx:pt idx="433">0.75</cx:pt>
          <cx:pt idx="434">0.375</cx:pt>
          <cx:pt idx="435">0.5</cx:pt>
          <cx:pt idx="436">0.25</cx:pt>
          <cx:pt idx="437">0.75</cx:pt>
          <cx:pt idx="438">0.6875</cx:pt>
          <cx:pt idx="439">0.3125</cx:pt>
          <cx:pt idx="440">0.5</cx:pt>
          <cx:pt idx="441">0.5</cx:pt>
          <cx:pt idx="442">0.5</cx:pt>
          <cx:pt idx="443">0.5</cx:pt>
          <cx:pt idx="444">0.75</cx:pt>
          <cx:pt idx="445">0.8125</cx:pt>
          <cx:pt idx="446">0.5625</cx:pt>
          <cx:pt idx="447">0.6875</cx:pt>
          <cx:pt idx="448">0.75</cx:pt>
          <cx:pt idx="449">0.75</cx:pt>
          <cx:pt idx="450">0.8125</cx:pt>
          <cx:pt idx="451">0.625</cx:pt>
          <cx:pt idx="452">0.75</cx:pt>
          <cx:pt idx="453">0.625</cx:pt>
          <cx:pt idx="454">0.75</cx:pt>
          <cx:pt idx="455">0.75</cx:pt>
          <cx:pt idx="456">0.3125</cx:pt>
          <cx:pt idx="457">0.4375</cx:pt>
          <cx:pt idx="458">0.5625</cx:pt>
          <cx:pt idx="459">0.5625</cx:pt>
          <cx:pt idx="460">0.375</cx:pt>
          <cx:pt idx="461">0.5</cx:pt>
          <cx:pt idx="462">0.625</cx:pt>
          <cx:pt idx="463">0.75</cx:pt>
          <cx:pt idx="464">0.6875</cx:pt>
          <cx:pt idx="465">0.75</cx:pt>
          <cx:pt idx="466">0.75</cx:pt>
          <cx:pt idx="467">0.4375</cx:pt>
          <cx:pt idx="468">0.5625</cx:pt>
          <cx:pt idx="469">0.5625</cx:pt>
          <cx:pt idx="470">0.6875</cx:pt>
          <cx:pt idx="471">0.5625</cx:pt>
          <cx:pt idx="472">0.8125</cx:pt>
          <cx:pt idx="473">0.625</cx:pt>
          <cx:pt idx="474">0.4375</cx:pt>
          <cx:pt idx="475">0.625</cx:pt>
          <cx:pt idx="476">0.6875</cx:pt>
          <cx:pt idx="477">0.6875</cx:pt>
          <cx:pt idx="478">0.75</cx:pt>
          <cx:pt idx="479">0.8125</cx:pt>
          <cx:pt idx="480">0.75</cx:pt>
          <cx:pt idx="481">0.75</cx:pt>
          <cx:pt idx="482">0.625</cx:pt>
          <cx:pt idx="483">0.5</cx:pt>
          <cx:pt idx="484">0.6875</cx:pt>
          <cx:pt idx="485">0.6875</cx:pt>
          <cx:pt idx="486">0.5625</cx:pt>
          <cx:pt idx="487">0.8125</cx:pt>
          <cx:pt idx="488">0.75</cx:pt>
          <cx:pt idx="489">0.75</cx:pt>
          <cx:pt idx="490">0.625</cx:pt>
          <cx:pt idx="491">0.375</cx:pt>
          <cx:pt idx="492">0.75</cx:pt>
          <cx:pt idx="493">0.6875</cx:pt>
          <cx:pt idx="494">0.6875</cx:pt>
          <cx:pt idx="495">0.75</cx:pt>
          <cx:pt idx="496">0.6875</cx:pt>
          <cx:pt idx="497">0.5625</cx:pt>
          <cx:pt idx="498">0.625</cx:pt>
          <cx:pt idx="499">0.75</cx:pt>
          <cx:pt idx="500">0.625</cx:pt>
          <cx:pt idx="501">0.5625</cx:pt>
          <cx:pt idx="502">0.5625</cx:pt>
          <cx:pt idx="503">0.8125</cx:pt>
          <cx:pt idx="504">0.8125</cx:pt>
          <cx:pt idx="505">0.8125</cx:pt>
          <cx:pt idx="506">0.625</cx:pt>
          <cx:pt idx="507">0.25</cx:pt>
          <cx:pt idx="508">0.5625</cx:pt>
          <cx:pt idx="509">0.5</cx:pt>
          <cx:pt idx="510">0.75</cx:pt>
          <cx:pt idx="511">0.8125</cx:pt>
          <cx:pt idx="512">0.5</cx:pt>
          <cx:pt idx="513">0.6875</cx:pt>
          <cx:pt idx="514">0.625</cx:pt>
          <cx:pt idx="515">0.8125</cx:pt>
          <cx:pt idx="516">0.6875</cx:pt>
          <cx:pt idx="517">0.6875</cx:pt>
          <cx:pt idx="518">0.6875</cx:pt>
          <cx:pt idx="519">0.5625</cx:pt>
          <cx:pt idx="520">0.75</cx:pt>
          <cx:pt idx="521">0.625</cx:pt>
          <cx:pt idx="522">0.5625</cx:pt>
          <cx:pt idx="523">0.5625</cx:pt>
          <cx:pt idx="524">0.5625</cx:pt>
          <cx:pt idx="525">0.6875</cx:pt>
          <cx:pt idx="526">0.5625</cx:pt>
          <cx:pt idx="527">0.625</cx:pt>
          <cx:pt idx="528">0.5</cx:pt>
          <cx:pt idx="529">0.5</cx:pt>
          <cx:pt idx="530">0.625</cx:pt>
          <cx:pt idx="531">0.625</cx:pt>
          <cx:pt idx="532">0.6875</cx:pt>
          <cx:pt idx="533">0.5625</cx:pt>
          <cx:pt idx="534">0.6875</cx:pt>
          <cx:pt idx="535">0.4375</cx:pt>
          <cx:pt idx="536">0.8125</cx:pt>
          <cx:pt idx="537">0.625</cx:pt>
          <cx:pt idx="538">0.25</cx:pt>
          <cx:pt idx="539">0.625</cx:pt>
          <cx:pt idx="540">0.75</cx:pt>
          <cx:pt idx="541">0.8125</cx:pt>
          <cx:pt idx="542">0.6875</cx:pt>
          <cx:pt idx="543">0.6875</cx:pt>
          <cx:pt idx="544">0.6875</cx:pt>
          <cx:pt idx="545">0.75</cx:pt>
          <cx:pt idx="546">0.6875</cx:pt>
          <cx:pt idx="547">0.75</cx:pt>
          <cx:pt idx="548">0.8125</cx:pt>
          <cx:pt idx="549">0.375</cx:pt>
          <cx:pt idx="550">0.625</cx:pt>
          <cx:pt idx="551">0.75</cx:pt>
          <cx:pt idx="552">0.6875</cx:pt>
          <cx:pt idx="553">0.75</cx:pt>
          <cx:pt idx="554">0.5625</cx:pt>
          <cx:pt idx="555">0.75</cx:pt>
          <cx:pt idx="556">0.75</cx:pt>
          <cx:pt idx="557">0.6875</cx:pt>
          <cx:pt idx="558">0.875</cx:pt>
          <cx:pt idx="559">0.75</cx:pt>
          <cx:pt idx="560">0.4375</cx:pt>
          <cx:pt idx="561">0.4375</cx:pt>
          <cx:pt idx="562">0.75</cx:pt>
          <cx:pt idx="563">0.75</cx:pt>
          <cx:pt idx="564">0.75</cx:pt>
          <cx:pt idx="565">0.6875</cx:pt>
          <cx:pt idx="566">0.6875</cx:pt>
          <cx:pt idx="567">0.5</cx:pt>
          <cx:pt idx="568">0.75</cx:pt>
          <cx:pt idx="569">0.75</cx:pt>
          <cx:pt idx="570">0.6875</cx:pt>
          <cx:pt idx="571">0.75</cx:pt>
          <cx:pt idx="572">0.6875</cx:pt>
          <cx:pt idx="573">0.75</cx:pt>
          <cx:pt idx="574">0.5625</cx:pt>
          <cx:pt idx="575">0.5</cx:pt>
          <cx:pt idx="576">0.6875</cx:pt>
          <cx:pt idx="577">0.5625</cx:pt>
          <cx:pt idx="578">0.5625</cx:pt>
          <cx:pt idx="579">0.75</cx:pt>
          <cx:pt idx="580">0.75</cx:pt>
          <cx:pt idx="581">0.6875</cx:pt>
          <cx:pt idx="582">0.625</cx:pt>
          <cx:pt idx="583">0.6875</cx:pt>
          <cx:pt idx="584">0.625</cx:pt>
          <cx:pt idx="585">0.6875</cx:pt>
          <cx:pt idx="586">0.3125</cx:pt>
          <cx:pt idx="587">0.5</cx:pt>
          <cx:pt idx="588">0.75</cx:pt>
          <cx:pt idx="589">0.625</cx:pt>
          <cx:pt idx="590">0.6875</cx:pt>
          <cx:pt idx="591">0.625</cx:pt>
          <cx:pt idx="592">0.5625</cx:pt>
          <cx:pt idx="593">0.6875</cx:pt>
          <cx:pt idx="594">0.625</cx:pt>
          <cx:pt idx="595">0.5625</cx:pt>
          <cx:pt idx="596">0.625</cx:pt>
          <cx:pt idx="597">0.375</cx:pt>
          <cx:pt idx="598">0.5</cx:pt>
          <cx:pt idx="599">0.5625</cx:pt>
          <cx:pt idx="600">0.625</cx:pt>
          <cx:pt idx="601">0.625</cx:pt>
          <cx:pt idx="602">0.75</cx:pt>
          <cx:pt idx="603">0.375</cx:pt>
          <cx:pt idx="604">0.625</cx:pt>
          <cx:pt idx="605">0.6875</cx:pt>
          <cx:pt idx="606">0.5</cx:pt>
          <cx:pt idx="607">0.5</cx:pt>
          <cx:pt idx="608">0.6875</cx:pt>
          <cx:pt idx="609">0.75</cx:pt>
          <cx:pt idx="610">0.3125</cx:pt>
          <cx:pt idx="611">0.25</cx:pt>
          <cx:pt idx="612">0.8125</cx:pt>
          <cx:pt idx="613">0.3125</cx:pt>
          <cx:pt idx="614">0.6875</cx:pt>
          <cx:pt idx="615">0.6875</cx:pt>
          <cx:pt idx="616">0.75</cx:pt>
          <cx:pt idx="617">0.5625</cx:pt>
          <cx:pt idx="618">0.75</cx:pt>
          <cx:pt idx="619">0.75</cx:pt>
          <cx:pt idx="620">0.6875</cx:pt>
          <cx:pt idx="621">0.5</cx:pt>
          <cx:pt idx="622">0.6875</cx:pt>
          <cx:pt idx="623">0.75</cx:pt>
          <cx:pt idx="624">0.6875</cx:pt>
          <cx:pt idx="625">0.625</cx:pt>
          <cx:pt idx="626">0.6875</cx:pt>
          <cx:pt idx="627">0.6875</cx:pt>
          <cx:pt idx="628">0.5625</cx:pt>
          <cx:pt idx="629">0.5625</cx:pt>
          <cx:pt idx="630">0.5</cx:pt>
          <cx:pt idx="631">0.625</cx:pt>
          <cx:pt idx="632">0.6875</cx:pt>
          <cx:pt idx="633">0.625</cx:pt>
          <cx:pt idx="634">0.75</cx:pt>
          <cx:pt idx="635">0.75</cx:pt>
          <cx:pt idx="636">0.625</cx:pt>
          <cx:pt idx="637">0.5625</cx:pt>
          <cx:pt idx="638">0.625</cx:pt>
          <cx:pt idx="639">0.625</cx:pt>
          <cx:pt idx="640">0.75</cx:pt>
          <cx:pt idx="641">0.5625</cx:pt>
          <cx:pt idx="642">0.5</cx:pt>
          <cx:pt idx="643">0.5625</cx:pt>
          <cx:pt idx="644">0.5625</cx:pt>
          <cx:pt idx="645">0.1875</cx:pt>
          <cx:pt idx="646">0.6875</cx:pt>
          <cx:pt idx="647">0.375</cx:pt>
          <cx:pt idx="648">0.375</cx:pt>
          <cx:pt idx="649">0.5625</cx:pt>
          <cx:pt idx="650">0.3125</cx:pt>
          <cx:pt idx="651">0.5625</cx:pt>
          <cx:pt idx="652">0.625</cx:pt>
          <cx:pt idx="653">0.75</cx:pt>
          <cx:pt idx="654">0.6875</cx:pt>
          <cx:pt idx="655">0.5625</cx:pt>
          <cx:pt idx="656">0.5625</cx:pt>
          <cx:pt idx="657">0.625</cx:pt>
          <cx:pt idx="658">0.5625</cx:pt>
          <cx:pt idx="659">0.5</cx:pt>
          <cx:pt idx="660">0.5625</cx:pt>
          <cx:pt idx="661">0.5</cx:pt>
          <cx:pt idx="662">0.4375</cx:pt>
          <cx:pt idx="663">0.4375</cx:pt>
          <cx:pt idx="664">0.6875</cx:pt>
          <cx:pt idx="665">0.625</cx:pt>
          <cx:pt idx="666">0.75</cx:pt>
          <cx:pt idx="667">0.5</cx:pt>
          <cx:pt idx="668">0.75</cx:pt>
          <cx:pt idx="669">0.3125</cx:pt>
          <cx:pt idx="670">0.6875</cx:pt>
          <cx:pt idx="671">0.375</cx:pt>
          <cx:pt idx="672">0.75</cx:pt>
          <cx:pt idx="673">0.625</cx:pt>
          <cx:pt idx="674">0.8125</cx:pt>
          <cx:pt idx="675">0.5625</cx:pt>
          <cx:pt idx="676">0.625</cx:pt>
          <cx:pt idx="677">0.625</cx:pt>
          <cx:pt idx="678">0.8125</cx:pt>
          <cx:pt idx="679">0.625</cx:pt>
          <cx:pt idx="680">0.6875</cx:pt>
          <cx:pt idx="681">0.75</cx:pt>
          <cx:pt idx="682">0.6875</cx:pt>
          <cx:pt idx="683">0.625</cx:pt>
          <cx:pt idx="684">0.625</cx:pt>
          <cx:pt idx="685">0.6875</cx:pt>
          <cx:pt idx="686">0.5</cx:pt>
          <cx:pt idx="687">0.5625</cx:pt>
          <cx:pt idx="688">0.75</cx:pt>
          <cx:pt idx="689">0.6875</cx:pt>
          <cx:pt idx="690">0.5625</cx:pt>
          <cx:pt idx="691">0.5</cx:pt>
          <cx:pt idx="692">0.625</cx:pt>
          <cx:pt idx="693">0.75</cx:pt>
          <cx:pt idx="694">0.75</cx:pt>
          <cx:pt idx="695">0.6875</cx:pt>
          <cx:pt idx="696">0.8125</cx:pt>
          <cx:pt idx="697">0.6875</cx:pt>
          <cx:pt idx="698">0.6875</cx:pt>
          <cx:pt idx="699">0.6875</cx:pt>
          <cx:pt idx="700">0.75</cx:pt>
          <cx:pt idx="701">0.6875</cx:pt>
          <cx:pt idx="702">0.5</cx:pt>
          <cx:pt idx="703">0.75</cx:pt>
          <cx:pt idx="704">0.6875</cx:pt>
          <cx:pt idx="705">0.5625</cx:pt>
          <cx:pt idx="706">0.75</cx:pt>
          <cx:pt idx="707">0.6875</cx:pt>
          <cx:pt idx="708">0.3125</cx:pt>
          <cx:pt idx="709">0.5625</cx:pt>
          <cx:pt idx="710">0.6875</cx:pt>
          <cx:pt idx="711">0.5</cx:pt>
          <cx:pt idx="712">0.4375</cx:pt>
          <cx:pt idx="713">0.25</cx:pt>
          <cx:pt idx="714">0.625</cx:pt>
          <cx:pt idx="715">0.6875</cx:pt>
          <cx:pt idx="716">0.6875</cx:pt>
          <cx:pt idx="717">0.6875</cx:pt>
          <cx:pt idx="718">0.5</cx:pt>
          <cx:pt idx="719">0.75</cx:pt>
          <cx:pt idx="720">0.6875</cx:pt>
          <cx:pt idx="721">0.6875</cx:pt>
          <cx:pt idx="722">0.625</cx:pt>
          <cx:pt idx="723">0.3125</cx:pt>
          <cx:pt idx="724">0.75</cx:pt>
          <cx:pt idx="725">0.5625</cx:pt>
          <cx:pt idx="726">0.5625</cx:pt>
          <cx:pt idx="727">0.5625</cx:pt>
          <cx:pt idx="728">0.6875</cx:pt>
          <cx:pt idx="729">0.75</cx:pt>
          <cx:pt idx="730">0.5</cx:pt>
          <cx:pt idx="731">0.625</cx:pt>
          <cx:pt idx="732">0.8125</cx:pt>
          <cx:pt idx="733">0.75</cx:pt>
          <cx:pt idx="734">0.8125</cx:pt>
          <cx:pt idx="735">0.25</cx:pt>
          <cx:pt idx="736">0.75</cx:pt>
          <cx:pt idx="737">0.75</cx:pt>
          <cx:pt idx="738">0.6875</cx:pt>
          <cx:pt idx="739">0.625</cx:pt>
          <cx:pt idx="740">0.6875</cx:pt>
          <cx:pt idx="741">0.75</cx:pt>
          <cx:pt idx="742">0.625</cx:pt>
          <cx:pt idx="743">0.8125</cx:pt>
          <cx:pt idx="744">0.3125</cx:pt>
          <cx:pt idx="745">0.6875</cx:pt>
          <cx:pt idx="746">0.75</cx:pt>
          <cx:pt idx="747">0.6875</cx:pt>
          <cx:pt idx="748">0.5625</cx:pt>
          <cx:pt idx="749">0.75</cx:pt>
          <cx:pt idx="750">0.4375</cx:pt>
          <cx:pt idx="751">0.6875</cx:pt>
          <cx:pt idx="752">0.75</cx:pt>
          <cx:pt idx="753">0.625</cx:pt>
          <cx:pt idx="754">0.75</cx:pt>
          <cx:pt idx="755">0.625</cx:pt>
          <cx:pt idx="756">0.75</cx:pt>
          <cx:pt idx="757">0.5625</cx:pt>
          <cx:pt idx="758">0.75</cx:pt>
          <cx:pt idx="759">0.6875</cx:pt>
          <cx:pt idx="760">0.6875</cx:pt>
          <cx:pt idx="761">0.625</cx:pt>
          <cx:pt idx="762">0.8125</cx:pt>
          <cx:pt idx="763">0.75</cx:pt>
          <cx:pt idx="764">0.75</cx:pt>
          <cx:pt idx="765">0.6875</cx:pt>
          <cx:pt idx="766">0.6875</cx:pt>
          <cx:pt idx="767">0.5625</cx:pt>
          <cx:pt idx="768">0.75</cx:pt>
          <cx:pt idx="769">0.625</cx:pt>
          <cx:pt idx="770">0.8125</cx:pt>
          <cx:pt idx="771">0.375</cx:pt>
          <cx:pt idx="772">0.5625</cx:pt>
          <cx:pt idx="773">0.625</cx:pt>
          <cx:pt idx="774">0.6875</cx:pt>
          <cx:pt idx="775">0.5</cx:pt>
          <cx:pt idx="776">0.75</cx:pt>
          <cx:pt idx="777">0.875</cx:pt>
          <cx:pt idx="778">0.625</cx:pt>
          <cx:pt idx="779">0.6875</cx:pt>
          <cx:pt idx="780">0.6875</cx:pt>
          <cx:pt idx="781">0.625</cx:pt>
          <cx:pt idx="782">0.75</cx:pt>
          <cx:pt idx="783">0.6875</cx:pt>
          <cx:pt idx="784">0.6875</cx:pt>
          <cx:pt idx="785">0.6875</cx:pt>
          <cx:pt idx="786">0.5625</cx:pt>
          <cx:pt idx="787">0.6875</cx:pt>
          <cx:pt idx="788">0.6875</cx:pt>
          <cx:pt idx="789">0.6875</cx:pt>
          <cx:pt idx="790">0.625</cx:pt>
          <cx:pt idx="791">0.75</cx:pt>
          <cx:pt idx="792">0.625</cx:pt>
          <cx:pt idx="793">0.5625</cx:pt>
          <cx:pt idx="794">0.6875</cx:pt>
          <cx:pt idx="795">0.6875</cx:pt>
          <cx:pt idx="796">0.625</cx:pt>
          <cx:pt idx="797">0.625</cx:pt>
          <cx:pt idx="798">0.6875</cx:pt>
          <cx:pt idx="799">0.5625</cx:pt>
          <cx:pt idx="800">0.625</cx:pt>
          <cx:pt idx="801">0.625</cx:pt>
          <cx:pt idx="802">0.625</cx:pt>
          <cx:pt idx="803">0.75</cx:pt>
          <cx:pt idx="804">0.625</cx:pt>
          <cx:pt idx="805">0.75</cx:pt>
          <cx:pt idx="806">0.6875</cx:pt>
          <cx:pt idx="807">0.875</cx:pt>
          <cx:pt idx="808">0.6875</cx:pt>
          <cx:pt idx="809">0.625</cx:pt>
          <cx:pt idx="810">0.5625</cx:pt>
          <cx:pt idx="811">0.75</cx:pt>
          <cx:pt idx="812">0.625</cx:pt>
          <cx:pt idx="813">0.75</cx:pt>
          <cx:pt idx="814">0.5625</cx:pt>
          <cx:pt idx="815">0.4375</cx:pt>
          <cx:pt idx="816">0.75</cx:pt>
          <cx:pt idx="817">0.6875</cx:pt>
          <cx:pt idx="818">0.4375</cx:pt>
          <cx:pt idx="819">0.6875</cx:pt>
          <cx:pt idx="820">0.625</cx:pt>
          <cx:pt idx="821">0.6875</cx:pt>
          <cx:pt idx="822">0.75</cx:pt>
          <cx:pt idx="823">0.5</cx:pt>
          <cx:pt idx="824">0.6875</cx:pt>
          <cx:pt idx="825">0.5</cx:pt>
          <cx:pt idx="826">0.6875</cx:pt>
          <cx:pt idx="827">0.25</cx:pt>
          <cx:pt idx="828">0.75</cx:pt>
          <cx:pt idx="829">0.625</cx:pt>
          <cx:pt idx="830">0.75</cx:pt>
          <cx:pt idx="831">0.75</cx:pt>
          <cx:pt idx="832">0.3125</cx:pt>
          <cx:pt idx="833">0.625</cx:pt>
          <cx:pt idx="834">0.5</cx:pt>
          <cx:pt idx="835">0.75</cx:pt>
          <cx:pt idx="836">0.4375</cx:pt>
          <cx:pt idx="837">0.6875</cx:pt>
          <cx:pt idx="838">0.375</cx:pt>
          <cx:pt idx="839">0.6875</cx:pt>
          <cx:pt idx="840">0.5625</cx:pt>
          <cx:pt idx="841">0.5</cx:pt>
          <cx:pt idx="842">0.5</cx:pt>
          <cx:pt idx="843">0.5625</cx:pt>
          <cx:pt idx="844">0.75</cx:pt>
          <cx:pt idx="845">0.625</cx:pt>
          <cx:pt idx="846">0.6875</cx:pt>
          <cx:pt idx="847">0.9375</cx:pt>
          <cx:pt idx="848">0.5625</cx:pt>
          <cx:pt idx="849">0.5625</cx:pt>
          <cx:pt idx="850">0.5</cx:pt>
          <cx:pt idx="851">0.625</cx:pt>
          <cx:pt idx="852">0.3125</cx:pt>
          <cx:pt idx="853">0.75</cx:pt>
          <cx:pt idx="854">0.5625</cx:pt>
          <cx:pt idx="855">0.6875</cx:pt>
          <cx:pt idx="856">0.25</cx:pt>
          <cx:pt idx="857">0.625</cx:pt>
          <cx:pt idx="858">0.375</cx:pt>
          <cx:pt idx="859">0.625</cx:pt>
          <cx:pt idx="860">0.625</cx:pt>
          <cx:pt idx="861">0.5625</cx:pt>
          <cx:pt idx="862">0.25</cx:pt>
          <cx:pt idx="863">0.75</cx:pt>
          <cx:pt idx="864">0.75</cx:pt>
          <cx:pt idx="865">0.4375</cx:pt>
          <cx:pt idx="866">0.5</cx:pt>
          <cx:pt idx="867">0.625</cx:pt>
          <cx:pt idx="868">0.6875</cx:pt>
          <cx:pt idx="869">0.6875</cx:pt>
          <cx:pt idx="870">0.5</cx:pt>
          <cx:pt idx="871">0.6875</cx:pt>
          <cx:pt idx="872">0.625</cx:pt>
          <cx:pt idx="873">0.375</cx:pt>
          <cx:pt idx="874">0.5</cx:pt>
          <cx:pt idx="875">0.6875</cx:pt>
          <cx:pt idx="876">0.75</cx:pt>
          <cx:pt idx="877">0.3125</cx:pt>
          <cx:pt idx="878">0.625</cx:pt>
          <cx:pt idx="879">0.625</cx:pt>
          <cx:pt idx="880">0.5625</cx:pt>
          <cx:pt idx="881">0.6875</cx:pt>
          <cx:pt idx="882">0.5</cx:pt>
          <cx:pt idx="883">0.75</cx:pt>
          <cx:pt idx="884">0.6875</cx:pt>
          <cx:pt idx="885">0.25</cx:pt>
          <cx:pt idx="886">0.25</cx:pt>
          <cx:pt idx="887">0.5625</cx:pt>
          <cx:pt idx="888">0.5625</cx:pt>
          <cx:pt idx="889">0.4375</cx:pt>
          <cx:pt idx="890">0.5625</cx:pt>
          <cx:pt idx="891">0.625</cx:pt>
          <cx:pt idx="892">0.75</cx:pt>
          <cx:pt idx="893">0.6875</cx:pt>
          <cx:pt idx="894">0.5</cx:pt>
          <cx:pt idx="895">0.75</cx:pt>
          <cx:pt idx="896">0.6875</cx:pt>
          <cx:pt idx="897">0.75</cx:pt>
          <cx:pt idx="898">0.75</cx:pt>
          <cx:pt idx="899">0.75</cx:pt>
          <cx:pt idx="900">0.75</cx:pt>
          <cx:pt idx="901">0.6875</cx:pt>
          <cx:pt idx="902">0.75</cx:pt>
          <cx:pt idx="903">0.6875</cx:pt>
          <cx:pt idx="904">0.625</cx:pt>
          <cx:pt idx="905">0.75</cx:pt>
          <cx:pt idx="906">0.75</cx:pt>
          <cx:pt idx="907">0.75</cx:pt>
          <cx:pt idx="908">0.625</cx:pt>
          <cx:pt idx="909">0.6875</cx:pt>
          <cx:pt idx="910">0.75</cx:pt>
          <cx:pt idx="911">0.75</cx:pt>
          <cx:pt idx="912">0.75</cx:pt>
          <cx:pt idx="913">0.75</cx:pt>
          <cx:pt idx="914">0.5625</cx:pt>
          <cx:pt idx="915">0.6875</cx:pt>
          <cx:pt idx="916">0.625</cx:pt>
          <cx:pt idx="917">0.5625</cx:pt>
          <cx:pt idx="918">0.8125</cx:pt>
          <cx:pt idx="919">0.6875</cx:pt>
          <cx:pt idx="920">0.6875</cx:pt>
          <cx:pt idx="921">0.625</cx:pt>
          <cx:pt idx="922">0.75</cx:pt>
          <cx:pt idx="923">0.8125</cx:pt>
          <cx:pt idx="924">0.75</cx:pt>
          <cx:pt idx="925">0.6875</cx:pt>
          <cx:pt idx="926">0.75</cx:pt>
          <cx:pt idx="927">0.8125</cx:pt>
          <cx:pt idx="928">0.6875</cx:pt>
          <cx:pt idx="929">0.4375</cx:pt>
          <cx:pt idx="930">0.625</cx:pt>
          <cx:pt idx="931">0.5625</cx:pt>
          <cx:pt idx="932">0.75</cx:pt>
          <cx:pt idx="933">0.625</cx:pt>
          <cx:pt idx="934">0.75</cx:pt>
          <cx:pt idx="935">0.1875</cx:pt>
          <cx:pt idx="936">0.625</cx:pt>
          <cx:pt idx="937">0.625</cx:pt>
          <cx:pt idx="938">0.625</cx:pt>
          <cx:pt idx="939">0.6875</cx:pt>
          <cx:pt idx="940">0.5625</cx:pt>
          <cx:pt idx="941">0.4375</cx:pt>
          <cx:pt idx="942">0.5</cx:pt>
          <cx:pt idx="943">0.5</cx:pt>
          <cx:pt idx="944">0.4375</cx:pt>
          <cx:pt idx="945">0.5625</cx:pt>
          <cx:pt idx="946">0.5625</cx:pt>
          <cx:pt idx="947">0.6875</cx:pt>
          <cx:pt idx="948">0.6875</cx:pt>
          <cx:pt idx="949">0.75</cx:pt>
          <cx:pt idx="950">0.625</cx:pt>
          <cx:pt idx="951">0.5625</cx:pt>
          <cx:pt idx="952">0.6875</cx:pt>
          <cx:pt idx="953">0.3125</cx:pt>
          <cx:pt idx="954">0.6875</cx:pt>
          <cx:pt idx="955">0.6875</cx:pt>
          <cx:pt idx="956">0.4375</cx:pt>
          <cx:pt idx="957">0.5</cx:pt>
          <cx:pt idx="958">0.5625</cx:pt>
          <cx:pt idx="959">0.625</cx:pt>
          <cx:pt idx="960">0.5</cx:pt>
          <cx:pt idx="961">0.6875</cx:pt>
          <cx:pt idx="962">0.5625</cx:pt>
          <cx:pt idx="963">0.5625</cx:pt>
          <cx:pt idx="964">0.4375</cx:pt>
          <cx:pt idx="965">0.625</cx:pt>
          <cx:pt idx="966">0.4375</cx:pt>
          <cx:pt idx="967">0.6875</cx:pt>
          <cx:pt idx="968">0.625</cx:pt>
          <cx:pt idx="969">0.75</cx:pt>
          <cx:pt idx="970">0.75</cx:pt>
          <cx:pt idx="971">0.4375</cx:pt>
          <cx:pt idx="972">0.5625</cx:pt>
          <cx:pt idx="973">0.5</cx:pt>
          <cx:pt idx="974">0.6875</cx:pt>
          <cx:pt idx="975">0.625</cx:pt>
          <cx:pt idx="976">0.5</cx:pt>
          <cx:pt idx="977">0.5625</cx:pt>
          <cx:pt idx="978">0.625</cx:pt>
          <cx:pt idx="979">0.5625</cx:pt>
          <cx:pt idx="980">0.5</cx:pt>
          <cx:pt idx="981">0.6875</cx:pt>
          <cx:pt idx="982">0.8125</cx:pt>
          <cx:pt idx="983">0.6875</cx:pt>
          <cx:pt idx="984">0.625</cx:pt>
          <cx:pt idx="985">0.5</cx:pt>
          <cx:pt idx="986">0.625</cx:pt>
          <cx:pt idx="987">0.8125</cx:pt>
          <cx:pt idx="988">0.5</cx:pt>
          <cx:pt idx="989">0.375</cx:pt>
          <cx:pt idx="990">0.5625</cx:pt>
          <cx:pt idx="991">0.625</cx:pt>
          <cx:pt idx="992">0.625</cx:pt>
          <cx:pt idx="993">0.75</cx:pt>
          <cx:pt idx="994">0.75</cx:pt>
          <cx:pt idx="995">0.5</cx:pt>
          <cx:pt idx="996">0.5625</cx:pt>
          <cx:pt idx="997">0.8125</cx:pt>
          <cx:pt idx="998">0.625</cx:pt>
          <cx:pt idx="999">0.6875</cx:pt>
          <cx:pt idx="1000">0.6875</cx:pt>
          <cx:pt idx="1001">0.6875</cx:pt>
          <cx:pt idx="1002">0.75</cx:pt>
          <cx:pt idx="1003">0.6875</cx:pt>
          <cx:pt idx="1004">0.5</cx:pt>
          <cx:pt idx="1005">0.625</cx:pt>
          <cx:pt idx="1006">0.5625</cx:pt>
          <cx:pt idx="1007">0.8125</cx:pt>
          <cx:pt idx="1008">0.6875</cx:pt>
          <cx:pt idx="1009">0.6875</cx:pt>
          <cx:pt idx="1010">0.75</cx:pt>
          <cx:pt idx="1011">0.5625</cx:pt>
          <cx:pt idx="1012">0.625</cx:pt>
          <cx:pt idx="1013">0.75</cx:pt>
          <cx:pt idx="1014">0.6875</cx:pt>
          <cx:pt idx="1015">0.75</cx:pt>
          <cx:pt idx="1016">0.6875</cx:pt>
          <cx:pt idx="1017">0.5625</cx:pt>
          <cx:pt idx="1018">0.625</cx:pt>
          <cx:pt idx="1019">0.75</cx:pt>
          <cx:pt idx="1020">0.625</cx:pt>
          <cx:pt idx="1021">0.75</cx:pt>
          <cx:pt idx="1022">0.8125</cx:pt>
          <cx:pt idx="1023">0.8125</cx:pt>
          <cx:pt idx="1024">0.8125</cx:pt>
          <cx:pt idx="1025">0.6875</cx:pt>
          <cx:pt idx="1026">0.6875</cx:pt>
          <cx:pt idx="1027">0.6875</cx:pt>
          <cx:pt idx="1028">0.6875</cx:pt>
          <cx:pt idx="1029">0.75</cx:pt>
          <cx:pt idx="1030">0.8125</cx:pt>
          <cx:pt idx="1031">0.6875</cx:pt>
          <cx:pt idx="1032">0.75</cx:pt>
          <cx:pt idx="1033">0.75</cx:pt>
          <cx:pt idx="1034">0.6875</cx:pt>
          <cx:pt idx="1035">0.8125</cx:pt>
          <cx:pt idx="1036">0.6875</cx:pt>
          <cx:pt idx="1037">0.6875</cx:pt>
          <cx:pt idx="1038">0.75</cx:pt>
          <cx:pt idx="1039">0.75</cx:pt>
          <cx:pt idx="1040">0.75</cx:pt>
          <cx:pt idx="1041">0.625</cx:pt>
          <cx:pt idx="1042">0.8125</cx:pt>
          <cx:pt idx="1043">0.625</cx:pt>
          <cx:pt idx="1044">0.8125</cx:pt>
          <cx:pt idx="1045">0.5</cx:pt>
          <cx:pt idx="1046">0.75</cx:pt>
          <cx:pt idx="1047">0.25</cx:pt>
          <cx:pt idx="1048">0.6875</cx:pt>
          <cx:pt idx="1049">0.8125</cx:pt>
          <cx:pt idx="1050">0.6875</cx:pt>
          <cx:pt idx="1051">0.5625</cx:pt>
          <cx:pt idx="1052">0.625</cx:pt>
          <cx:pt idx="1053">0.6875</cx:pt>
          <cx:pt idx="1054">0.5</cx:pt>
          <cx:pt idx="1055">0.6875</cx:pt>
          <cx:pt idx="1056">0.6875</cx:pt>
          <cx:pt idx="1057">0.75</cx:pt>
          <cx:pt idx="1058">0.75</cx:pt>
          <cx:pt idx="1059">0.6875</cx:pt>
          <cx:pt idx="1060">0.625</cx:pt>
          <cx:pt idx="1061">0.625</cx:pt>
          <cx:pt idx="1062">0.6875</cx:pt>
          <cx:pt idx="1063">0.5625</cx:pt>
          <cx:pt idx="1064">0.5625</cx:pt>
          <cx:pt idx="1065">0.6875</cx:pt>
          <cx:pt idx="1066">0.5625</cx:pt>
          <cx:pt idx="1067">0.625</cx:pt>
          <cx:pt idx="1068">0.625</cx:pt>
          <cx:pt idx="1069">0.75</cx:pt>
          <cx:pt idx="1070">0.5625</cx:pt>
          <cx:pt idx="1071">0.5625</cx:pt>
          <cx:pt idx="1072">0.5</cx:pt>
          <cx:pt idx="1073">0.6875</cx:pt>
          <cx:pt idx="1074">0.5</cx:pt>
          <cx:pt idx="1075">0.6875</cx:pt>
          <cx:pt idx="1076">0.375</cx:pt>
          <cx:pt idx="1077">0.5625</cx:pt>
          <cx:pt idx="1078">0.375</cx:pt>
          <cx:pt idx="1079">0.75</cx:pt>
          <cx:pt idx="1080">0.625</cx:pt>
          <cx:pt idx="1081">0.6875</cx:pt>
          <cx:pt idx="1082">0.75</cx:pt>
          <cx:pt idx="1083">0.625</cx:pt>
          <cx:pt idx="1084">0.5</cx:pt>
          <cx:pt idx="1085">0.6875</cx:pt>
          <cx:pt idx="1086">0.625</cx:pt>
          <cx:pt idx="1087">0.6875</cx:pt>
          <cx:pt idx="1088">0.75</cx:pt>
          <cx:pt idx="1089">0.625</cx:pt>
          <cx:pt idx="1090">0.4375</cx:pt>
          <cx:pt idx="1091">0.5625</cx:pt>
          <cx:pt idx="1092">0.625</cx:pt>
          <cx:pt idx="1093">0.5</cx:pt>
          <cx:pt idx="1094">0.6875</cx:pt>
          <cx:pt idx="1095">0.5625</cx:pt>
          <cx:pt idx="1096">0.625</cx:pt>
          <cx:pt idx="1097">0.625</cx:pt>
          <cx:pt idx="1098">0.4375</cx:pt>
          <cx:pt idx="1099">0.5625</cx:pt>
          <cx:pt idx="1100">0.5</cx:pt>
          <cx:pt idx="1101">0.75</cx:pt>
          <cx:pt idx="1102">0.5625</cx:pt>
          <cx:pt idx="1103">0.4375</cx:pt>
          <cx:pt idx="1104">0.6875</cx:pt>
          <cx:pt idx="1105">0.5625</cx:pt>
          <cx:pt idx="1106">0.75</cx:pt>
          <cx:pt idx="1107">0.6875</cx:pt>
          <cx:pt idx="1108">0.6875</cx:pt>
          <cx:pt idx="1109">0.375</cx:pt>
          <cx:pt idx="1110">0.6875</cx:pt>
          <cx:pt idx="1111">0.5</cx:pt>
          <cx:pt idx="1112">0.25</cx:pt>
          <cx:pt idx="1113">0.25</cx:pt>
          <cx:pt idx="1114">0.375</cx:pt>
          <cx:pt idx="1115">0.4375</cx:pt>
          <cx:pt idx="1116">0.3125</cx:pt>
          <cx:pt idx="1117">0.25</cx:pt>
          <cx:pt idx="1118">0.25</cx:pt>
          <cx:pt idx="1119">0.3125</cx:pt>
          <cx:pt idx="1120">0.3125</cx:pt>
          <cx:pt idx="1121">0.3125</cx:pt>
          <cx:pt idx="1122">0.375</cx:pt>
          <cx:pt idx="1123">0.75</cx:pt>
          <cx:pt idx="1124">0.5</cx:pt>
          <cx:pt idx="1125">0.75</cx:pt>
          <cx:pt idx="1126">0.6875</cx:pt>
          <cx:pt idx="1127">0.25</cx:pt>
          <cx:pt idx="1128">0.6875</cx:pt>
          <cx:pt idx="1129">0.75</cx:pt>
          <cx:pt idx="1130">0.75</cx:pt>
          <cx:pt idx="1131">0.625</cx:pt>
          <cx:pt idx="1132">0.5625</cx:pt>
          <cx:pt idx="1133">0.6875</cx:pt>
          <cx:pt idx="1134">0.625</cx:pt>
          <cx:pt idx="1135">0.5625</cx:pt>
          <cx:pt idx="1136">0.6875</cx:pt>
          <cx:pt idx="1137">0.75</cx:pt>
          <cx:pt idx="1138">0.75</cx:pt>
          <cx:pt idx="1139">0.75</cx:pt>
          <cx:pt idx="1140">0.75</cx:pt>
          <cx:pt idx="1141">0.8125</cx:pt>
          <cx:pt idx="1142">0.6875</cx:pt>
          <cx:pt idx="1143">0.8125</cx:pt>
          <cx:pt idx="1144">0.625</cx:pt>
          <cx:pt idx="1145">0.75</cx:pt>
          <cx:pt idx="1146">0.75</cx:pt>
          <cx:pt idx="1147">0.75</cx:pt>
          <cx:pt idx="1148">0.8125</cx:pt>
          <cx:pt idx="1149">0.6875</cx:pt>
          <cx:pt idx="1150">0.625</cx:pt>
          <cx:pt idx="1151">0.75</cx:pt>
          <cx:pt idx="1152">0.5625</cx:pt>
          <cx:pt idx="1153">0.25</cx:pt>
          <cx:pt idx="1154">0.75</cx:pt>
          <cx:pt idx="1155">0.8125</cx:pt>
          <cx:pt idx="1156">0.8125</cx:pt>
          <cx:pt idx="1157">0.5</cx:pt>
          <cx:pt idx="1158">0.75</cx:pt>
          <cx:pt idx="1159">0.625</cx:pt>
          <cx:pt idx="1160">0.6875</cx:pt>
          <cx:pt idx="1161">0.5625</cx:pt>
          <cx:pt idx="1162">0.6875</cx:pt>
          <cx:pt idx="1163">0.6875</cx:pt>
          <cx:pt idx="1164">0.625</cx:pt>
          <cx:pt idx="1165">0.6875</cx:pt>
          <cx:pt idx="1166">0.625</cx:pt>
          <cx:pt idx="1167">0.8125</cx:pt>
          <cx:pt idx="1168">0.6875</cx:pt>
          <cx:pt idx="1169">0.6875</cx:pt>
          <cx:pt idx="1170">0.75</cx:pt>
          <cx:pt idx="1171">0.5625</cx:pt>
          <cx:pt idx="1172">0.4375</cx:pt>
          <cx:pt idx="1173">0.625</cx:pt>
          <cx:pt idx="1174">0.6875</cx:pt>
          <cx:pt idx="1175">0.625</cx:pt>
          <cx:pt idx="1176">0.6875</cx:pt>
          <cx:pt idx="1177">0.8125</cx:pt>
          <cx:pt idx="1178">0.625</cx:pt>
          <cx:pt idx="1179">0.75</cx:pt>
          <cx:pt idx="1180">0.6875</cx:pt>
          <cx:pt idx="1181">0.625</cx:pt>
          <cx:pt idx="1182">0.75</cx:pt>
          <cx:pt idx="1183">0.75</cx:pt>
          <cx:pt idx="1184">0.75</cx:pt>
          <cx:pt idx="1185">0.75</cx:pt>
          <cx:pt idx="1186">0.5625</cx:pt>
          <cx:pt idx="1187">0.75</cx:pt>
          <cx:pt idx="1188">0.75</cx:pt>
          <cx:pt idx="1189">0.8125</cx:pt>
          <cx:pt idx="1190">0.6875</cx:pt>
          <cx:pt idx="1191">0.625</cx:pt>
          <cx:pt idx="1192">0.75</cx:pt>
          <cx:pt idx="1193">0.625</cx:pt>
          <cx:pt idx="1194">0.75</cx:pt>
          <cx:pt idx="1195">0.5</cx:pt>
          <cx:pt idx="1196">0.5</cx:pt>
          <cx:pt idx="1197">0.75</cx:pt>
          <cx:pt idx="1198">0.75</cx:pt>
          <cx:pt idx="1199">0.8125</cx:pt>
          <cx:pt idx="1200">0.5</cx:pt>
          <cx:pt idx="1201">0.625</cx:pt>
          <cx:pt idx="1202">0.75</cx:pt>
          <cx:pt idx="1203">0.8125</cx:pt>
          <cx:pt idx="1204">0.75</cx:pt>
          <cx:pt idx="1205">0.8125</cx:pt>
          <cx:pt idx="1206">0.6875</cx:pt>
          <cx:pt idx="1207">0.75</cx:pt>
          <cx:pt idx="1208">0.4375</cx:pt>
          <cx:pt idx="1209">0.5</cx:pt>
          <cx:pt idx="1210">0.75</cx:pt>
          <cx:pt idx="1211">0.8125</cx:pt>
          <cx:pt idx="1212">0.6875</cx:pt>
          <cx:pt idx="1213">0.5</cx:pt>
          <cx:pt idx="1214">0.6875</cx:pt>
          <cx:pt idx="1215">0.6875</cx:pt>
          <cx:pt idx="1216">0.75</cx:pt>
          <cx:pt idx="1217">0.5625</cx:pt>
          <cx:pt idx="1218">0.625</cx:pt>
          <cx:pt idx="1219">0.375</cx:pt>
          <cx:pt idx="1220">0.75</cx:pt>
          <cx:pt idx="1221">0.6875</cx:pt>
          <cx:pt idx="1222">0.75</cx:pt>
          <cx:pt idx="1223">0.75</cx:pt>
          <cx:pt idx="1224">0.5625</cx:pt>
          <cx:pt idx="1225">0.4375</cx:pt>
          <cx:pt idx="1226">0.75</cx:pt>
          <cx:pt idx="1227">0.6875</cx:pt>
          <cx:pt idx="1228">0.6875</cx:pt>
          <cx:pt idx="1229">0.375</cx:pt>
          <cx:pt idx="1230">0.375</cx:pt>
          <cx:pt idx="1231">0.8125</cx:pt>
          <cx:pt idx="1232">0.625</cx:pt>
          <cx:pt idx="1233">0.625</cx:pt>
          <cx:pt idx="1234">0.75</cx:pt>
          <cx:pt idx="1235">0.75</cx:pt>
          <cx:pt idx="1236">0.5625</cx:pt>
          <cx:pt idx="1237">0.6875</cx:pt>
          <cx:pt idx="1238">0.625</cx:pt>
          <cx:pt idx="1239">0.75</cx:pt>
          <cx:pt idx="1240">0.375</cx:pt>
          <cx:pt idx="1241">0.75</cx:pt>
          <cx:pt idx="1242">0.8125</cx:pt>
          <cx:pt idx="1243">0.875</cx:pt>
          <cx:pt idx="1244">0.75</cx:pt>
          <cx:pt idx="1245">0.75</cx:pt>
          <cx:pt idx="1246">0.75</cx:pt>
          <cx:pt idx="1247">0.625</cx:pt>
          <cx:pt idx="1248">0.75</cx:pt>
          <cx:pt idx="1249">0.5</cx:pt>
          <cx:pt idx="1250">0.75</cx:pt>
          <cx:pt idx="1251">0.75</cx:pt>
          <cx:pt idx="1252">0.625</cx:pt>
          <cx:pt idx="1253">0.25</cx:pt>
          <cx:pt idx="1254">0.75</cx:pt>
          <cx:pt idx="1255">0.375</cx:pt>
          <cx:pt idx="1256">0.6875</cx:pt>
          <cx:pt idx="1257">0.5625</cx:pt>
          <cx:pt idx="1258">0.25</cx:pt>
          <cx:pt idx="1259">0.3125</cx:pt>
          <cx:pt idx="1260">0.5625</cx:pt>
          <cx:pt idx="1261">0.6875</cx:pt>
          <cx:pt idx="1262">0.625</cx:pt>
          <cx:pt idx="1263">0.375</cx:pt>
          <cx:pt idx="1264">0.75</cx:pt>
          <cx:pt idx="1265">0.6875</cx:pt>
          <cx:pt idx="1266">0.875</cx:pt>
          <cx:pt idx="1267">0.625</cx:pt>
          <cx:pt idx="1268">0.25</cx:pt>
          <cx:pt idx="1269">0.8125</cx:pt>
          <cx:pt idx="1270">0.4375</cx:pt>
          <cx:pt idx="1271">0.625</cx:pt>
          <cx:pt idx="1272">0.5</cx:pt>
          <cx:pt idx="1273">0.4375</cx:pt>
          <cx:pt idx="1274">0.5625</cx:pt>
          <cx:pt idx="1275">0.6875</cx:pt>
          <cx:pt idx="1276">0.25</cx:pt>
          <cx:pt idx="1277">0.5</cx:pt>
          <cx:pt idx="1278">0.5625</cx:pt>
          <cx:pt idx="1279">0.75</cx:pt>
          <cx:pt idx="1280">0.6875</cx:pt>
          <cx:pt idx="1281">0.375</cx:pt>
          <cx:pt idx="1282">0.375</cx:pt>
          <cx:pt idx="1283">0.5625</cx:pt>
          <cx:pt idx="1284">0.6875</cx:pt>
          <cx:pt idx="1285">0.6875</cx:pt>
          <cx:pt idx="1286">0.6875</cx:pt>
          <cx:pt idx="1287">0.5</cx:pt>
          <cx:pt idx="1288">0.1875</cx:pt>
          <cx:pt idx="1289">0.5</cx:pt>
          <cx:pt idx="1290">0.4375</cx:pt>
          <cx:pt idx="1291">0.5</cx:pt>
          <cx:pt idx="1292">0.5</cx:pt>
          <cx:pt idx="1293">0.6875</cx:pt>
          <cx:pt idx="1294">0.875</cx:pt>
          <cx:pt idx="1295">0.625</cx:pt>
          <cx:pt idx="1296">0.5625</cx:pt>
          <cx:pt idx="1297">0.4375</cx:pt>
          <cx:pt idx="1298">0.625</cx:pt>
          <cx:pt idx="1299">0.6875</cx:pt>
          <cx:pt idx="1300">0.3125</cx:pt>
          <cx:pt idx="1301">0.625</cx:pt>
          <cx:pt idx="1302">0.75</cx:pt>
          <cx:pt idx="1303">0.75</cx:pt>
          <cx:pt idx="1304">0.8125</cx:pt>
          <cx:pt idx="1305">0.625</cx:pt>
          <cx:pt idx="1306">0.625</cx:pt>
          <cx:pt idx="1307">0.875</cx:pt>
          <cx:pt idx="1308">0.75</cx:pt>
          <cx:pt idx="1309">0.5625</cx:pt>
          <cx:pt idx="1310">0.5</cx:pt>
          <cx:pt idx="1311">0.6875</cx:pt>
          <cx:pt idx="1312">0.625</cx:pt>
          <cx:pt idx="1313">0.5</cx:pt>
          <cx:pt idx="1314">0.625</cx:pt>
          <cx:pt idx="1315">0.5</cx:pt>
          <cx:pt idx="1316">0.75</cx:pt>
          <cx:pt idx="1317">0.8125</cx:pt>
          <cx:pt idx="1318">0.75</cx:pt>
          <cx:pt idx="1319">0.6875</cx:pt>
          <cx:pt idx="1320">0.8125</cx:pt>
          <cx:pt idx="1321">0.625</cx:pt>
          <cx:pt idx="1322">0.75</cx:pt>
          <cx:pt idx="1323">0.6875</cx:pt>
          <cx:pt idx="1324">0.75</cx:pt>
          <cx:pt idx="1325">0.8125</cx:pt>
          <cx:pt idx="1326">0.75</cx:pt>
          <cx:pt idx="1327">0.75</cx:pt>
          <cx:pt idx="1328">0.8125</cx:pt>
          <cx:pt idx="1329">0.5625</cx:pt>
          <cx:pt idx="1330">0.5625</cx:pt>
          <cx:pt idx="1331">0.6875</cx:pt>
          <cx:pt idx="1332">0.6875</cx:pt>
          <cx:pt idx="1333">0.75</cx:pt>
          <cx:pt idx="1334">0.5</cx:pt>
          <cx:pt idx="1335">0.75</cx:pt>
          <cx:pt idx="1336">0.8125</cx:pt>
          <cx:pt idx="1337">0.75</cx:pt>
          <cx:pt idx="1338">0.4375</cx:pt>
          <cx:pt idx="1339">0.6875</cx:pt>
          <cx:pt idx="1340">0.625</cx:pt>
          <cx:pt idx="1341">0.5</cx:pt>
          <cx:pt idx="1342">0.625</cx:pt>
          <cx:pt idx="1343">0.6875</cx:pt>
          <cx:pt idx="1344">0.6875</cx:pt>
          <cx:pt idx="1345">0.625</cx:pt>
          <cx:pt idx="1346">0.6875</cx:pt>
          <cx:pt idx="1347">0.5625</cx:pt>
          <cx:pt idx="1348">0.375</cx:pt>
          <cx:pt idx="1349">0.6875</cx:pt>
          <cx:pt idx="1350">0.75</cx:pt>
          <cx:pt idx="1351">0.3125</cx:pt>
          <cx:pt idx="1352">0.75</cx:pt>
          <cx:pt idx="1353">0.75</cx:pt>
          <cx:pt idx="1354">0.5625</cx:pt>
          <cx:pt idx="1355">0.75</cx:pt>
          <cx:pt idx="1356">0.75</cx:pt>
          <cx:pt idx="1357">0.625</cx:pt>
          <cx:pt idx="1358">0.6875</cx:pt>
          <cx:pt idx="1359">0.4375</cx:pt>
          <cx:pt idx="1360">0.6875</cx:pt>
          <cx:pt idx="1361">0.5</cx:pt>
          <cx:pt idx="1362">0.6875</cx:pt>
          <cx:pt idx="1363">0.5</cx:pt>
          <cx:pt idx="1364">0.75</cx:pt>
          <cx:pt idx="1365">0.625</cx:pt>
          <cx:pt idx="1366">0.5</cx:pt>
          <cx:pt idx="1367">0.375</cx:pt>
          <cx:pt idx="1368">0.4375</cx:pt>
          <cx:pt idx="1369">0.625</cx:pt>
          <cx:pt idx="1370">0.75</cx:pt>
          <cx:pt idx="1371">0.8125</cx:pt>
          <cx:pt idx="1372">0.5625</cx:pt>
          <cx:pt idx="1373">0.75</cx:pt>
          <cx:pt idx="1374">0.8125</cx:pt>
          <cx:pt idx="1375">0.6875</cx:pt>
          <cx:pt idx="1376">0.5</cx:pt>
          <cx:pt idx="1377">0.5</cx:pt>
          <cx:pt idx="1378">0.75</cx:pt>
          <cx:pt idx="1379">0.75</cx:pt>
          <cx:pt idx="1380">0.6875</cx:pt>
          <cx:pt idx="1381">0.5625</cx:pt>
          <cx:pt idx="1382">0.375</cx:pt>
          <cx:pt idx="1383">0.625</cx:pt>
          <cx:pt idx="1384">0.4375</cx:pt>
          <cx:pt idx="1385">0.625</cx:pt>
          <cx:pt idx="1386">0.625</cx:pt>
          <cx:pt idx="1387">0.75</cx:pt>
          <cx:pt idx="1388">0.5</cx:pt>
          <cx:pt idx="1389">0.4375</cx:pt>
          <cx:pt idx="1390">0.625</cx:pt>
          <cx:pt idx="1391">0.6875</cx:pt>
          <cx:pt idx="1392">0.3125</cx:pt>
          <cx:pt idx="1393">0.5</cx:pt>
          <cx:pt idx="1394">0.6875</cx:pt>
          <cx:pt idx="1395">0.75</cx:pt>
          <cx:pt idx="1396">0.625</cx:pt>
          <cx:pt idx="1397">0.75</cx:pt>
          <cx:pt idx="1398">0.625</cx:pt>
          <cx:pt idx="1399">0.625</cx:pt>
          <cx:pt idx="1400">0.6875</cx:pt>
          <cx:pt idx="1401">0.75</cx:pt>
          <cx:pt idx="1402">0.75</cx:pt>
          <cx:pt idx="1403">0.75</cx:pt>
          <cx:pt idx="1404">0.625</cx:pt>
          <cx:pt idx="1405">0.75</cx:pt>
          <cx:pt idx="1406">0.625</cx:pt>
          <cx:pt idx="1407">0.5625</cx:pt>
          <cx:pt idx="1408">0.5625</cx:pt>
          <cx:pt idx="1409">0.75</cx:pt>
          <cx:pt idx="1410">0.6875</cx:pt>
          <cx:pt idx="1411">0.75</cx:pt>
          <cx:pt idx="1412">0.8125</cx:pt>
          <cx:pt idx="1413">0.8125</cx:pt>
          <cx:pt idx="1414">0.75</cx:pt>
          <cx:pt idx="1415">0.6875</cx:pt>
          <cx:pt idx="1416">0.8125</cx:pt>
          <cx:pt idx="1417">0.6875</cx:pt>
          <cx:pt idx="1418">0.5</cx:pt>
          <cx:pt idx="1419">0.75</cx:pt>
          <cx:pt idx="1420">0.75</cx:pt>
          <cx:pt idx="1421">0.8125</cx:pt>
          <cx:pt idx="1422">0.625</cx:pt>
          <cx:pt idx="1423">0.75</cx:pt>
          <cx:pt idx="1424">0.625</cx:pt>
          <cx:pt idx="1425">0.8125</cx:pt>
          <cx:pt idx="1426">0.75</cx:pt>
          <cx:pt idx="1427">0.8125</cx:pt>
          <cx:pt idx="1428">0.75</cx:pt>
          <cx:pt idx="1429">0.625</cx:pt>
          <cx:pt idx="1430">0.625</cx:pt>
          <cx:pt idx="1431">0.625</cx:pt>
          <cx:pt idx="1432">0.6875</cx:pt>
          <cx:pt idx="1433">0.5625</cx:pt>
          <cx:pt idx="1434">0.5</cx:pt>
          <cx:pt idx="1435">0.3125</cx:pt>
          <cx:pt idx="1436">0.75</cx:pt>
          <cx:pt idx="1437">0.6875</cx:pt>
          <cx:pt idx="1438">0.6875</cx:pt>
          <cx:pt idx="1439">0.6875</cx:pt>
          <cx:pt idx="1440">0.75</cx:pt>
          <cx:pt idx="1441">0.5</cx:pt>
          <cx:pt idx="1442">0.75</cx:pt>
          <cx:pt idx="1443">0.375</cx:pt>
          <cx:pt idx="1444">0.625</cx:pt>
          <cx:pt idx="1445">0.75</cx:pt>
          <cx:pt idx="1446">0.75</cx:pt>
          <cx:pt idx="1447">0.625</cx:pt>
          <cx:pt idx="1448">0.625</cx:pt>
          <cx:pt idx="1449">0.6875</cx:pt>
          <cx:pt idx="1450">0.5</cx:pt>
          <cx:pt idx="1451">0.25</cx:pt>
          <cx:pt idx="1452">0.5</cx:pt>
          <cx:pt idx="1453">0.3125</cx:pt>
          <cx:pt idx="1454">0.375</cx:pt>
          <cx:pt idx="1455">0.5</cx:pt>
          <cx:pt idx="1456">0.75</cx:pt>
          <cx:pt idx="1457">0.5</cx:pt>
          <cx:pt idx="1458">0.625</cx:pt>
          <cx:pt idx="1459">0.6875</cx:pt>
          <cx:pt idx="1460">0.75</cx:pt>
          <cx:pt idx="1461">0.75</cx:pt>
          <cx:pt idx="1462">0.6875</cx:pt>
          <cx:pt idx="1463">0.625</cx:pt>
          <cx:pt idx="1464">0.75</cx:pt>
          <cx:pt idx="1465">0.625</cx:pt>
          <cx:pt idx="1466">0.75</cx:pt>
          <cx:pt idx="1467">0.8125</cx:pt>
          <cx:pt idx="1468">0.625</cx:pt>
          <cx:pt idx="1469">0.75</cx:pt>
          <cx:pt idx="1470">0.8125</cx:pt>
          <cx:pt idx="1471">0.75</cx:pt>
          <cx:pt idx="1472">0.75</cx:pt>
          <cx:pt idx="1473">0.6875</cx:pt>
          <cx:pt idx="1474">0.75</cx:pt>
          <cx:pt idx="1475">0.5625</cx:pt>
          <cx:pt idx="1476">0.75</cx:pt>
          <cx:pt idx="1477">0.75</cx:pt>
          <cx:pt idx="1478">0.75</cx:pt>
          <cx:pt idx="1479">0.75</cx:pt>
          <cx:pt idx="1480">0.5625</cx:pt>
          <cx:pt idx="1481">0.75</cx:pt>
          <cx:pt idx="1482">0.5</cx:pt>
          <cx:pt idx="1483">0.75</cx:pt>
          <cx:pt idx="1484">0.75</cx:pt>
          <cx:pt idx="1485">0.75</cx:pt>
          <cx:pt idx="1486">0.75</cx:pt>
          <cx:pt idx="1487">0.75</cx:pt>
          <cx:pt idx="1488">0.4375</cx:pt>
          <cx:pt idx="1489">0.5625</cx:pt>
          <cx:pt idx="1490">0.625</cx:pt>
          <cx:pt idx="1491">0.75</cx:pt>
          <cx:pt idx="1492">0.6875</cx:pt>
          <cx:pt idx="1493">0.75</cx:pt>
          <cx:pt idx="1494">0.625</cx:pt>
          <cx:pt idx="1495">0.6875</cx:pt>
          <cx:pt idx="1496">0.625</cx:pt>
          <cx:pt idx="1497">0.75</cx:pt>
          <cx:pt idx="1498">0.5</cx:pt>
          <cx:pt idx="1499">0.75</cx:pt>
          <cx:pt idx="1500">0.625</cx:pt>
          <cx:pt idx="1501">0.375</cx:pt>
          <cx:pt idx="1502">0.6875</cx:pt>
          <cx:pt idx="1503">0.75</cx:pt>
          <cx:pt idx="1504">0.75</cx:pt>
          <cx:pt idx="1505">0.5625</cx:pt>
          <cx:pt idx="1506">0.4375</cx:pt>
          <cx:pt idx="1507">0.8125</cx:pt>
          <cx:pt idx="1508">0.6875</cx:pt>
          <cx:pt idx="1509">0.625</cx:pt>
          <cx:pt idx="1510">0.6875</cx:pt>
          <cx:pt idx="1511">0.625</cx:pt>
          <cx:pt idx="1512">0.75</cx:pt>
          <cx:pt idx="1513">0.5625</cx:pt>
          <cx:pt idx="1514">0.6875</cx:pt>
          <cx:pt idx="1515">0.625</cx:pt>
          <cx:pt idx="1516">0.6875</cx:pt>
          <cx:pt idx="1517">0.75</cx:pt>
          <cx:pt idx="1518">0.6875</cx:pt>
          <cx:pt idx="1519">0.8125</cx:pt>
          <cx:pt idx="1520">0.75</cx:pt>
          <cx:pt idx="1521">0.6875</cx:pt>
          <cx:pt idx="1522">0.75</cx:pt>
          <cx:pt idx="1523">0.6875</cx:pt>
          <cx:pt idx="1524">0.4375</cx:pt>
          <cx:pt idx="1525">0.75</cx:pt>
          <cx:pt idx="1526">0.75</cx:pt>
          <cx:pt idx="1527">0.6875</cx:pt>
          <cx:pt idx="1528">0.8125</cx:pt>
          <cx:pt idx="1529">0.8125</cx:pt>
          <cx:pt idx="1530">0.625</cx:pt>
          <cx:pt idx="1531">0.75</cx:pt>
          <cx:pt idx="1532">0.8125</cx:pt>
          <cx:pt idx="1533">0.75</cx:pt>
          <cx:pt idx="1534">0.8125</cx:pt>
          <cx:pt idx="1535">0.75</cx:pt>
          <cx:pt idx="1536">0.5625</cx:pt>
          <cx:pt idx="1537">0.625</cx:pt>
          <cx:pt idx="1538">0.8125</cx:pt>
          <cx:pt idx="1539">0.8125</cx:pt>
          <cx:pt idx="1540">0.8125</cx:pt>
          <cx:pt idx="1541">0.625</cx:pt>
          <cx:pt idx="1542">0.75</cx:pt>
          <cx:pt idx="1543">0.3125</cx:pt>
          <cx:pt idx="1544">0.6875</cx:pt>
          <cx:pt idx="1545">0.6875</cx:pt>
          <cx:pt idx="1546">0.8125</cx:pt>
          <cx:pt idx="1547">0.75</cx:pt>
          <cx:pt idx="1548">0.8125</cx:pt>
          <cx:pt idx="1549">0.625</cx:pt>
          <cx:pt idx="1550">0.8125</cx:pt>
          <cx:pt idx="1551">0.75</cx:pt>
          <cx:pt idx="1552">0.75</cx:pt>
          <cx:pt idx="1553">0.75</cx:pt>
          <cx:pt idx="1554">0.5625</cx:pt>
          <cx:pt idx="1555">0.75</cx:pt>
          <cx:pt idx="1556">0.75</cx:pt>
          <cx:pt idx="1557">0.75</cx:pt>
          <cx:pt idx="1558">0.6875</cx:pt>
          <cx:pt idx="1559">0.6875</cx:pt>
          <cx:pt idx="1560">0.625</cx:pt>
          <cx:pt idx="1561">0.6875</cx:pt>
          <cx:pt idx="1562">0.6875</cx:pt>
          <cx:pt idx="1563">0.6875</cx:pt>
          <cx:pt idx="1564">0.75</cx:pt>
          <cx:pt idx="1565">0.6875</cx:pt>
          <cx:pt idx="1566">0.6875</cx:pt>
          <cx:pt idx="1567">0.75</cx:pt>
          <cx:pt idx="1568">0.6875</cx:pt>
          <cx:pt idx="1569">0.75</cx:pt>
          <cx:pt idx="1570">0.75</cx:pt>
          <cx:pt idx="1571">0.8125</cx:pt>
          <cx:pt idx="1572">0.75</cx:pt>
          <cx:pt idx="1573">0.6875</cx:pt>
          <cx:pt idx="1574">0.6875</cx:pt>
          <cx:pt idx="1575">0.625</cx:pt>
          <cx:pt idx="1576">0.75</cx:pt>
          <cx:pt idx="1577">0.625</cx:pt>
          <cx:pt idx="1578">0.6875</cx:pt>
          <cx:pt idx="1579">0.6875</cx:pt>
          <cx:pt idx="1580">0.75</cx:pt>
          <cx:pt idx="1581">0.75</cx:pt>
          <cx:pt idx="1582">0.5625</cx:pt>
          <cx:pt idx="1583">0.375</cx:pt>
          <cx:pt idx="1584">0.625</cx:pt>
          <cx:pt idx="1585">0.5</cx:pt>
          <cx:pt idx="1586">0.3125</cx:pt>
          <cx:pt idx="1587">0.75</cx:pt>
          <cx:pt idx="1588">0.625</cx:pt>
          <cx:pt idx="1589">0.5</cx:pt>
          <cx:pt idx="1590">0.3125</cx:pt>
          <cx:pt idx="1591">0.75</cx:pt>
          <cx:pt idx="1592">0.3125</cx:pt>
          <cx:pt idx="1593">0.5</cx:pt>
          <cx:pt idx="1594">0.5</cx:pt>
          <cx:pt idx="1595">0.8125</cx:pt>
          <cx:pt idx="1596">0.5625</cx:pt>
          <cx:pt idx="1597">0.5</cx:pt>
          <cx:pt idx="1598">0.5</cx:pt>
          <cx:pt idx="1599">0.75</cx:pt>
          <cx:pt idx="1600">0.625</cx:pt>
          <cx:pt idx="1601">0.5</cx:pt>
          <cx:pt idx="1602">0.5</cx:pt>
          <cx:pt idx="1603">0.8125</cx:pt>
          <cx:pt idx="1604">0.375</cx:pt>
          <cx:pt idx="1605">0.5</cx:pt>
          <cx:pt idx="1606">0.625</cx:pt>
          <cx:pt idx="1607">0.75</cx:pt>
          <cx:pt idx="1608">0.4375</cx:pt>
          <cx:pt idx="1609">0.625</cx:pt>
          <cx:pt idx="1610">0.625</cx:pt>
          <cx:pt idx="1611">0.5</cx:pt>
          <cx:pt idx="1612">0.5625</cx:pt>
          <cx:pt idx="1613">0.5</cx:pt>
          <cx:pt idx="1614">0.4375</cx:pt>
          <cx:pt idx="1615">0.625</cx:pt>
          <cx:pt idx="1616">0.375</cx:pt>
          <cx:pt idx="1617">0.3125</cx:pt>
          <cx:pt idx="1618">0.75</cx:pt>
          <cx:pt idx="1619">0.75</cx:pt>
          <cx:pt idx="1620">0.75</cx:pt>
          <cx:pt idx="1621">0.5</cx:pt>
          <cx:pt idx="1622">0.75</cx:pt>
          <cx:pt idx="1623">0.6875</cx:pt>
          <cx:pt idx="1624">0.75</cx:pt>
          <cx:pt idx="1625">0.5625</cx:pt>
          <cx:pt idx="1626">0.75</cx:pt>
          <cx:pt idx="1627">0.75</cx:pt>
          <cx:pt idx="1628">0.6875</cx:pt>
          <cx:pt idx="1629">0.6875</cx:pt>
          <cx:pt idx="1630">0.6875</cx:pt>
          <cx:pt idx="1631">0.625</cx:pt>
          <cx:pt idx="1632">0.8125</cx:pt>
          <cx:pt idx="1633">0.5625</cx:pt>
          <cx:pt idx="1634">0.6875</cx:pt>
          <cx:pt idx="1635">0.6875</cx:pt>
          <cx:pt idx="1636">0.5625</cx:pt>
          <cx:pt idx="1637">0.75</cx:pt>
          <cx:pt idx="1638">0.75</cx:pt>
          <cx:pt idx="1639">0.625</cx:pt>
          <cx:pt idx="1640">0.75</cx:pt>
          <cx:pt idx="1641">0.375</cx:pt>
          <cx:pt idx="1642">0.5</cx:pt>
          <cx:pt idx="1643">0.625</cx:pt>
          <cx:pt idx="1644">0.625</cx:pt>
          <cx:pt idx="1645">0.8125</cx:pt>
          <cx:pt idx="1646">0.5625</cx:pt>
          <cx:pt idx="1647">0.3125</cx:pt>
          <cx:pt idx="1648">0.75</cx:pt>
          <cx:pt idx="1649">0.4375</cx:pt>
          <cx:pt idx="1650">0.8125</cx:pt>
          <cx:pt idx="1651">0.6875</cx:pt>
          <cx:pt idx="1652">0.8125</cx:pt>
          <cx:pt idx="1653">0.625</cx:pt>
          <cx:pt idx="1654">0.3125</cx:pt>
          <cx:pt idx="1655">0.25</cx:pt>
          <cx:pt idx="1656">0.8125</cx:pt>
          <cx:pt idx="1657">0.8125</cx:pt>
          <cx:pt idx="1658">0.75</cx:pt>
          <cx:pt idx="1659">0.6875</cx:pt>
          <cx:pt idx="1660">0.75</cx:pt>
          <cx:pt idx="1661">0.4375</cx:pt>
          <cx:pt idx="1662">0.5</cx:pt>
          <cx:pt idx="1663">0.75</cx:pt>
          <cx:pt idx="1664">0.6875</cx:pt>
          <cx:pt idx="1665">0.6875</cx:pt>
          <cx:pt idx="1666">0.6875</cx:pt>
          <cx:pt idx="1667">0.75</cx:pt>
          <cx:pt idx="1668">0.75</cx:pt>
          <cx:pt idx="1669">0.75</cx:pt>
          <cx:pt idx="1670">0.6875</cx:pt>
          <cx:pt idx="1671">0.8125</cx:pt>
          <cx:pt idx="1672">0.875</cx:pt>
          <cx:pt idx="1673">0.8125</cx:pt>
          <cx:pt idx="1674">0.6875</cx:pt>
          <cx:pt idx="1675">0.75</cx:pt>
          <cx:pt idx="1676">0.625</cx:pt>
          <cx:pt idx="1677">0.625</cx:pt>
          <cx:pt idx="1678">0.75</cx:pt>
          <cx:pt idx="1679">0.875</cx:pt>
          <cx:pt idx="1680">0.75</cx:pt>
          <cx:pt idx="1681">0.5</cx:pt>
          <cx:pt idx="1682">0.6875</cx:pt>
          <cx:pt idx="1683">0.6875</cx:pt>
          <cx:pt idx="1684">0.5625</cx:pt>
          <cx:pt idx="1685">0.625</cx:pt>
          <cx:pt idx="1686">0.6875</cx:pt>
          <cx:pt idx="1687">0.6875</cx:pt>
          <cx:pt idx="1688">0.4375</cx:pt>
          <cx:pt idx="1689">0.4375</cx:pt>
          <cx:pt idx="1690">0.75</cx:pt>
          <cx:pt idx="1691">0.4375</cx:pt>
          <cx:pt idx="1692">0.625</cx:pt>
          <cx:pt idx="1693">0.25</cx:pt>
          <cx:pt idx="1694">0.625</cx:pt>
          <cx:pt idx="1695">0.75</cx:pt>
          <cx:pt idx="1696">0.6875</cx:pt>
          <cx:pt idx="1697">0.625</cx:pt>
          <cx:pt idx="1698">0.6875</cx:pt>
          <cx:pt idx="1699">0.8125</cx:pt>
          <cx:pt idx="1700">0.625</cx:pt>
          <cx:pt idx="1701">0.6875</cx:pt>
          <cx:pt idx="1702">0.4375</cx:pt>
          <cx:pt idx="1703">0.6875</cx:pt>
          <cx:pt idx="1704">0.625</cx:pt>
          <cx:pt idx="1705">0.625</cx:pt>
          <cx:pt idx="1706">0.8125</cx:pt>
          <cx:pt idx="1707">0.6875</cx:pt>
          <cx:pt idx="1708">0.625</cx:pt>
          <cx:pt idx="1709">0.5625</cx:pt>
          <cx:pt idx="1710">0.625</cx:pt>
          <cx:pt idx="1711">0.625</cx:pt>
          <cx:pt idx="1712">0.5</cx:pt>
          <cx:pt idx="1713">0.75</cx:pt>
          <cx:pt idx="1714">0.6875</cx:pt>
          <cx:pt idx="1715">0.5</cx:pt>
          <cx:pt idx="1716">0.75</cx:pt>
          <cx:pt idx="1717">0.75</cx:pt>
          <cx:pt idx="1718">0.6875</cx:pt>
          <cx:pt idx="1719">0.5625</cx:pt>
          <cx:pt idx="1720">0.8125</cx:pt>
          <cx:pt idx="1721">0.4375</cx:pt>
          <cx:pt idx="1722">0.75</cx:pt>
          <cx:pt idx="1723">0.75</cx:pt>
          <cx:pt idx="1724">0.6875</cx:pt>
          <cx:pt idx="1725">0.6875</cx:pt>
          <cx:pt idx="1726">0.5625</cx:pt>
          <cx:pt idx="1727">0.5</cx:pt>
          <cx:pt idx="1728">0.6875</cx:pt>
          <cx:pt idx="1729">0.625</cx:pt>
          <cx:pt idx="1730">0.75</cx:pt>
          <cx:pt idx="1731">0.5625</cx:pt>
          <cx:pt idx="1732">0.5</cx:pt>
          <cx:pt idx="1733">0.625</cx:pt>
          <cx:pt idx="1734">0.625</cx:pt>
          <cx:pt idx="1735">0.75</cx:pt>
          <cx:pt idx="1736">0.6875</cx:pt>
          <cx:pt idx="1737">0.625</cx:pt>
          <cx:pt idx="1738">0.5625</cx:pt>
          <cx:pt idx="1739">0.5625</cx:pt>
          <cx:pt idx="1740">0.6875</cx:pt>
          <cx:pt idx="1741">0.4375</cx:pt>
          <cx:pt idx="1742">0.625</cx:pt>
          <cx:pt idx="1743">0.5</cx:pt>
          <cx:pt idx="1744">0.6875</cx:pt>
          <cx:pt idx="1745">0.75</cx:pt>
          <cx:pt idx="1746">0.5</cx:pt>
          <cx:pt idx="1747">0.5625</cx:pt>
          <cx:pt idx="1748">0.6875</cx:pt>
          <cx:pt idx="1749">0.4375</cx:pt>
          <cx:pt idx="1750">0.4375</cx:pt>
          <cx:pt idx="1751">0.625</cx:pt>
          <cx:pt idx="1752">0.5625</cx:pt>
          <cx:pt idx="1753">0.625</cx:pt>
          <cx:pt idx="1754">0.6875</cx:pt>
          <cx:pt idx="1755">0.8125</cx:pt>
          <cx:pt idx="1756">0.6875</cx:pt>
          <cx:pt idx="1757">0.625</cx:pt>
          <cx:pt idx="1758">0.5625</cx:pt>
          <cx:pt idx="1759">0.625</cx:pt>
          <cx:pt idx="1760">0.75</cx:pt>
          <cx:pt idx="1761">0.5625</cx:pt>
          <cx:pt idx="1762">0.75</cx:pt>
          <cx:pt idx="1763">0.75</cx:pt>
          <cx:pt idx="1764">0.6875</cx:pt>
          <cx:pt idx="1765">0.75</cx:pt>
          <cx:pt idx="1766">0.5625</cx:pt>
          <cx:pt idx="1767">0.625</cx:pt>
          <cx:pt idx="1768">0.5</cx:pt>
          <cx:pt idx="1769">0.6875</cx:pt>
          <cx:pt idx="1770">0.8125</cx:pt>
          <cx:pt idx="1771">0.4375</cx:pt>
          <cx:pt idx="1772">0.8125</cx:pt>
          <cx:pt idx="1773">0.625</cx:pt>
          <cx:pt idx="1774">0.75</cx:pt>
          <cx:pt idx="1775">0.5625</cx:pt>
          <cx:pt idx="1776">0.8125</cx:pt>
          <cx:pt idx="1777">0.6875</cx:pt>
          <cx:pt idx="1778">0.8125</cx:pt>
          <cx:pt idx="1779">0.6875</cx:pt>
          <cx:pt idx="1780">0.75</cx:pt>
          <cx:pt idx="1781">0.75</cx:pt>
          <cx:pt idx="1782">0.75</cx:pt>
          <cx:pt idx="1783">0.625</cx:pt>
          <cx:pt idx="1784">0.5</cx:pt>
          <cx:pt idx="1785">0.75</cx:pt>
          <cx:pt idx="1786">0.5</cx:pt>
          <cx:pt idx="1787">0.5</cx:pt>
          <cx:pt idx="1788">0.5625</cx:pt>
          <cx:pt idx="1789">0.5625</cx:pt>
          <cx:pt idx="1790">0.625</cx:pt>
          <cx:pt idx="1791">0.75</cx:pt>
          <cx:pt idx="1792">0.75</cx:pt>
          <cx:pt idx="1793">0.6875</cx:pt>
          <cx:pt idx="1794">0.5</cx:pt>
          <cx:pt idx="1795">0.75</cx:pt>
          <cx:pt idx="1796">0.75</cx:pt>
          <cx:pt idx="1797">0.625</cx:pt>
          <cx:pt idx="1798">0.5</cx:pt>
          <cx:pt idx="1799">0.625</cx:pt>
          <cx:pt idx="1800">0.625</cx:pt>
          <cx:pt idx="1801">0.8125</cx:pt>
          <cx:pt idx="1802">0.8125</cx:pt>
          <cx:pt idx="1803">0.4375</cx:pt>
          <cx:pt idx="1804">0.75</cx:pt>
          <cx:pt idx="1805">0.8125</cx:pt>
          <cx:pt idx="1806">0.5625</cx:pt>
          <cx:pt idx="1807">0.5625</cx:pt>
          <cx:pt idx="1808">0.625</cx:pt>
          <cx:pt idx="1809">0.4375</cx:pt>
          <cx:pt idx="1810">0.4375</cx:pt>
          <cx:pt idx="1811">0.625</cx:pt>
          <cx:pt idx="1812">0.8125</cx:pt>
          <cx:pt idx="1813">0.8125</cx:pt>
          <cx:pt idx="1814">0.5</cx:pt>
          <cx:pt idx="1815">0.8125</cx:pt>
          <cx:pt idx="1816">0.375</cx:pt>
          <cx:pt idx="1817">0.625</cx:pt>
          <cx:pt idx="1818">0.375</cx:pt>
          <cx:pt idx="1819">0.8125</cx:pt>
          <cx:pt idx="1820">0.6875</cx:pt>
          <cx:pt idx="1821">0.6875</cx:pt>
          <cx:pt idx="1822">0.4375</cx:pt>
          <cx:pt idx="1823">0.75</cx:pt>
          <cx:pt idx="1824">0.5625</cx:pt>
          <cx:pt idx="1825">0.6875</cx:pt>
          <cx:pt idx="1826">0.375</cx:pt>
          <cx:pt idx="1827">0.5625</cx:pt>
          <cx:pt idx="1828">0.1875</cx:pt>
          <cx:pt idx="1829">0.5625</cx:pt>
          <cx:pt idx="1830">0.8125</cx:pt>
          <cx:pt idx="1831">0.75</cx:pt>
          <cx:pt idx="1832">0.625</cx:pt>
          <cx:pt idx="1833">0.8125</cx:pt>
          <cx:pt idx="1834">0.5</cx:pt>
          <cx:pt idx="1835">0.75</cx:pt>
          <cx:pt idx="1836">0.6875</cx:pt>
          <cx:pt idx="1837">0.5625</cx:pt>
          <cx:pt idx="1838">0.5</cx:pt>
          <cx:pt idx="1839">0.5</cx:pt>
          <cx:pt idx="1840">0.5</cx:pt>
          <cx:pt idx="1841">0.1875</cx:pt>
          <cx:pt idx="1842">0.375</cx:pt>
          <cx:pt idx="1843">0.25</cx:pt>
          <cx:pt idx="1844">0.25</cx:pt>
          <cx:pt idx="1845">0.625</cx:pt>
          <cx:pt idx="1846">0.875</cx:pt>
          <cx:pt idx="1847">0.6875</cx:pt>
          <cx:pt idx="1848">0.625</cx:pt>
          <cx:pt idx="1849">0.5</cx:pt>
          <cx:pt idx="1850">0.6875</cx:pt>
          <cx:pt idx="1851">0.5</cx:pt>
          <cx:pt idx="1852">0.6875</cx:pt>
          <cx:pt idx="1853">0.5625</cx:pt>
          <cx:pt idx="1854">0.75</cx:pt>
          <cx:pt idx="1855">0.8125</cx:pt>
          <cx:pt idx="1856">0.5625</cx:pt>
          <cx:pt idx="1857">0.5625</cx:pt>
          <cx:pt idx="1858">0.625</cx:pt>
          <cx:pt idx="1859">0.6875</cx:pt>
          <cx:pt idx="1860">0.75</cx:pt>
          <cx:pt idx="1861">0.5</cx:pt>
          <cx:pt idx="1862">0.75</cx:pt>
          <cx:pt idx="1863">0.5625</cx:pt>
          <cx:pt idx="1864">0.75</cx:pt>
          <cx:pt idx="1865">0.5</cx:pt>
          <cx:pt idx="1866">0.4375</cx:pt>
          <cx:pt idx="1867">0.5625</cx:pt>
          <cx:pt idx="1868">0.3125</cx:pt>
          <cx:pt idx="1869">0.5</cx:pt>
          <cx:pt idx="1870">0.5625</cx:pt>
          <cx:pt idx="1871">0.75</cx:pt>
          <cx:pt idx="1872">0.625</cx:pt>
          <cx:pt idx="1873">0.625</cx:pt>
          <cx:pt idx="1874">0.75</cx:pt>
          <cx:pt idx="1875">0.5625</cx:pt>
          <cx:pt idx="1876">0.5625</cx:pt>
          <cx:pt idx="1877">0.8125</cx:pt>
          <cx:pt idx="1878">0.625</cx:pt>
          <cx:pt idx="1879">0.5</cx:pt>
          <cx:pt idx="1880">0.6875</cx:pt>
          <cx:pt idx="1881">0.625</cx:pt>
          <cx:pt idx="1882">0.625</cx:pt>
          <cx:pt idx="1883">0.25</cx:pt>
          <cx:pt idx="1884">0.6875</cx:pt>
          <cx:pt idx="1885">0.5</cx:pt>
          <cx:pt idx="1886">0.3125</cx:pt>
          <cx:pt idx="1887">0.25</cx:pt>
          <cx:pt idx="1888">0.25</cx:pt>
          <cx:pt idx="1889">0.6875</cx:pt>
          <cx:pt idx="1890">0.6875</cx:pt>
          <cx:pt idx="1891">0.625</cx:pt>
          <cx:pt idx="1892">0.625</cx:pt>
          <cx:pt idx="1893">0.5</cx:pt>
          <cx:pt idx="1894">0.4375</cx:pt>
          <cx:pt idx="1895">0.6875</cx:pt>
          <cx:pt idx="1896">0.4375</cx:pt>
          <cx:pt idx="1897">0.5</cx:pt>
          <cx:pt idx="1898">0.5625</cx:pt>
          <cx:pt idx="1899">0.8125</cx:pt>
          <cx:pt idx="1900">0.75</cx:pt>
          <cx:pt idx="1901">0.75</cx:pt>
          <cx:pt idx="1902">0.625</cx:pt>
          <cx:pt idx="1903">0.6875</cx:pt>
          <cx:pt idx="1904">0.625</cx:pt>
          <cx:pt idx="1905">0.75</cx:pt>
          <cx:pt idx="1906">0.625</cx:pt>
          <cx:pt idx="1907">0.6875</cx:pt>
          <cx:pt idx="1908">0.4375</cx:pt>
          <cx:pt idx="1909">0.6875</cx:pt>
          <cx:pt idx="1910">0.5625</cx:pt>
          <cx:pt idx="1911">0.6875</cx:pt>
          <cx:pt idx="1912">0.625</cx:pt>
          <cx:pt idx="1913">0.625</cx:pt>
          <cx:pt idx="1914">0.625</cx:pt>
          <cx:pt idx="1915">0.5625</cx:pt>
          <cx:pt idx="1916">0.8125</cx:pt>
          <cx:pt idx="1917">0.625</cx:pt>
          <cx:pt idx="1918">0.4375</cx:pt>
          <cx:pt idx="1919">0.625</cx:pt>
          <cx:pt idx="1920">0.6875</cx:pt>
          <cx:pt idx="1921">0.75</cx:pt>
          <cx:pt idx="1922">0.75</cx:pt>
          <cx:pt idx="1923">0.75</cx:pt>
          <cx:pt idx="1924">0.6875</cx:pt>
          <cx:pt idx="1925">0.75</cx:pt>
          <cx:pt idx="1926">0.8125</cx:pt>
          <cx:pt idx="1927">0.75</cx:pt>
          <cx:pt idx="1928">0.75</cx:pt>
          <cx:pt idx="1929">0.8125</cx:pt>
          <cx:pt idx="1930">0.75</cx:pt>
          <cx:pt idx="1931">0.8125</cx:pt>
          <cx:pt idx="1932">0.75</cx:pt>
          <cx:pt idx="1933">0.75</cx:pt>
          <cx:pt idx="1934">0.375</cx:pt>
          <cx:pt idx="1935">0.625</cx:pt>
          <cx:pt idx="1936">0.625</cx:pt>
          <cx:pt idx="1937">0.8125</cx:pt>
          <cx:pt idx="1938">0.8125</cx:pt>
          <cx:pt idx="1939">0.625</cx:pt>
          <cx:pt idx="1940">0.75</cx:pt>
          <cx:pt idx="1941">0.75</cx:pt>
          <cx:pt idx="1942">0.3125</cx:pt>
          <cx:pt idx="1943">0.5</cx:pt>
          <cx:pt idx="1944">0.4375</cx:pt>
          <cx:pt idx="1945">0.4375</cx:pt>
          <cx:pt idx="1946">0.5</cx:pt>
          <cx:pt idx="1947">0.625</cx:pt>
          <cx:pt idx="1948">0.25</cx:pt>
          <cx:pt idx="1949">0.8125</cx:pt>
          <cx:pt idx="1950">0.625</cx:pt>
          <cx:pt idx="1951">0.625</cx:pt>
          <cx:pt idx="1952">0.375</cx:pt>
          <cx:pt idx="1953">0.75</cx:pt>
          <cx:pt idx="1954">0.6875</cx:pt>
          <cx:pt idx="1955">0.6875</cx:pt>
          <cx:pt idx="1956">0.5</cx:pt>
          <cx:pt idx="1957">0.75</cx:pt>
          <cx:pt idx="1958">0.6875</cx:pt>
          <cx:pt idx="1959">0.6875</cx:pt>
          <cx:pt idx="1960">0.4375</cx:pt>
          <cx:pt idx="1961">0.5</cx:pt>
          <cx:pt idx="1962">0.5</cx:pt>
          <cx:pt idx="1963">0.8125</cx:pt>
          <cx:pt idx="1964">0.75</cx:pt>
          <cx:pt idx="1965">0.75</cx:pt>
          <cx:pt idx="1966">0.5</cx:pt>
          <cx:pt idx="1967">0.5</cx:pt>
          <cx:pt idx="1968">0.4375</cx:pt>
          <cx:pt idx="1969">0.5625</cx:pt>
          <cx:pt idx="1970">0.625</cx:pt>
          <cx:pt idx="1971">0.5625</cx:pt>
          <cx:pt idx="1972">0.375</cx:pt>
          <cx:pt idx="1973">0.75</cx:pt>
          <cx:pt idx="1974">0.8125</cx:pt>
          <cx:pt idx="1975">0.75</cx:pt>
          <cx:pt idx="1976">0.625</cx:pt>
          <cx:pt idx="1977">0.6875</cx:pt>
          <cx:pt idx="1978">0.5625</cx:pt>
          <cx:pt idx="1979">0.75</cx:pt>
          <cx:pt idx="1980">0.6875</cx:pt>
          <cx:pt idx="1981">0.75</cx:pt>
          <cx:pt idx="1982">0.6875</cx:pt>
          <cx:pt idx="1983">0.75</cx:pt>
          <cx:pt idx="1984">0.6875</cx:pt>
          <cx:pt idx="1985">0.8125</cx:pt>
          <cx:pt idx="1986">0.75</cx:pt>
          <cx:pt idx="1987">0.6875</cx:pt>
          <cx:pt idx="1988">0.75</cx:pt>
          <cx:pt idx="1989">0.5</cx:pt>
          <cx:pt idx="1990">0.5625</cx:pt>
          <cx:pt idx="1991">0.8125</cx:pt>
          <cx:pt idx="1992">0.5625</cx:pt>
          <cx:pt idx="1993">0.5</cx:pt>
          <cx:pt idx="1994">0.5</cx:pt>
          <cx:pt idx="1995">0.5625</cx:pt>
          <cx:pt idx="1996">0.6875</cx:pt>
          <cx:pt idx="1997">0.4375</cx:pt>
          <cx:pt idx="1998">0.6875</cx:pt>
          <cx:pt idx="1999">0.5625</cx:pt>
          <cx:pt idx="2000">0.375</cx:pt>
          <cx:pt idx="2001">0.375</cx:pt>
          <cx:pt idx="2002">0.5</cx:pt>
          <cx:pt idx="2003">0.75</cx:pt>
          <cx:pt idx="2004">0.625</cx:pt>
          <cx:pt idx="2005">0.5</cx:pt>
          <cx:pt idx="2006">0.375</cx:pt>
          <cx:pt idx="2007">0.625</cx:pt>
          <cx:pt idx="2008">0.375</cx:pt>
          <cx:pt idx="2009">0.625</cx:pt>
          <cx:pt idx="2010">0.375</cx:pt>
          <cx:pt idx="2011">0.75</cx:pt>
          <cx:pt idx="2012">0.8125</cx:pt>
          <cx:pt idx="2013">0.5</cx:pt>
          <cx:pt idx="2014">0.6875</cx:pt>
          <cx:pt idx="2015">0.5</cx:pt>
          <cx:pt idx="2016">0.625</cx:pt>
          <cx:pt idx="2017">0.5625</cx:pt>
          <cx:pt idx="2018">0.625</cx:pt>
          <cx:pt idx="2019">0.625</cx:pt>
          <cx:pt idx="2020">0.375</cx:pt>
          <cx:pt idx="2021">0.5625</cx:pt>
          <cx:pt idx="2022">0.5</cx:pt>
          <cx:pt idx="2023">0.5</cx:pt>
          <cx:pt idx="2024">0.625</cx:pt>
          <cx:pt idx="2025">0.6875</cx:pt>
          <cx:pt idx="2026">0.5</cx:pt>
          <cx:pt idx="2027">0.375</cx:pt>
          <cx:pt idx="2028">0.375</cx:pt>
          <cx:pt idx="2029">0.5</cx:pt>
          <cx:pt idx="2030">0.375</cx:pt>
          <cx:pt idx="2031">0.5625</cx:pt>
          <cx:pt idx="2032">0.75</cx:pt>
          <cx:pt idx="2033">0.6875</cx:pt>
          <cx:pt idx="2034">0.6875</cx:pt>
          <cx:pt idx="2035">0.5</cx:pt>
          <cx:pt idx="2036">0.375</cx:pt>
          <cx:pt idx="2037">0.5</cx:pt>
          <cx:pt idx="2038">0.375</cx:pt>
          <cx:pt idx="2039">0.5625</cx:pt>
          <cx:pt idx="2040">0.6875</cx:pt>
          <cx:pt idx="2041">0.625</cx:pt>
          <cx:pt idx="2042">0.375</cx:pt>
          <cx:pt idx="2043">0.5</cx:pt>
          <cx:pt idx="2044">0.75</cx:pt>
          <cx:pt idx="2045">0.625</cx:pt>
          <cx:pt idx="2046">0.5625</cx:pt>
          <cx:pt idx="2047">0.5</cx:pt>
          <cx:pt idx="2048">0.4375</cx:pt>
          <cx:pt idx="2049">0.625</cx:pt>
          <cx:pt idx="2050">0.6875</cx:pt>
          <cx:pt idx="2051">0.6875</cx:pt>
          <cx:pt idx="2052">0.375</cx:pt>
          <cx:pt idx="2053">0.5625</cx:pt>
          <cx:pt idx="2054">0.5625</cx:pt>
          <cx:pt idx="2055">0.375</cx:pt>
          <cx:pt idx="2056">0.375</cx:pt>
          <cx:pt idx="2057">0.3125</cx:pt>
          <cx:pt idx="2058">0.375</cx:pt>
          <cx:pt idx="2059">0.375</cx:pt>
          <cx:pt idx="2060">0.375</cx:pt>
          <cx:pt idx="2061">0.5</cx:pt>
          <cx:pt idx="2062">0.4375</cx:pt>
          <cx:pt idx="2063">0.5625</cx:pt>
          <cx:pt idx="2064">0.5625</cx:pt>
          <cx:pt idx="2065">0.5625</cx:pt>
          <cx:pt idx="2066">0.625</cx:pt>
          <cx:pt idx="2067">0.4375</cx:pt>
          <cx:pt idx="2068">0.625</cx:pt>
          <cx:pt idx="2069">0.4375</cx:pt>
          <cx:pt idx="2070">0.6875</cx:pt>
          <cx:pt idx="2071">0.6875</cx:pt>
          <cx:pt idx="2072">0.75</cx:pt>
          <cx:pt idx="2073">0.375</cx:pt>
          <cx:pt idx="2074">0.5625</cx:pt>
          <cx:pt idx="2075">0.4375</cx:pt>
          <cx:pt idx="2076">0.4375</cx:pt>
          <cx:pt idx="2077">0.5</cx:pt>
          <cx:pt idx="2078">0.6875</cx:pt>
          <cx:pt idx="2079">0.5</cx:pt>
          <cx:pt idx="2080">0.5</cx:pt>
          <cx:pt idx="2081">0.375</cx:pt>
          <cx:pt idx="2082">0.4375</cx:pt>
          <cx:pt idx="2083">0.5625</cx:pt>
          <cx:pt idx="2084">0.375</cx:pt>
          <cx:pt idx="2085">0.375</cx:pt>
          <cx:pt idx="2086">0.375</cx:pt>
          <cx:pt idx="2087">0.625</cx:pt>
          <cx:pt idx="2088">0.3125</cx:pt>
          <cx:pt idx="2089">0.375</cx:pt>
          <cx:pt idx="2090">0.3125</cx:pt>
          <cx:pt idx="2091">0.6875</cx:pt>
          <cx:pt idx="2092">0.4375</cx:pt>
          <cx:pt idx="2093">0.875</cx:pt>
          <cx:pt idx="2094">0.875</cx:pt>
          <cx:pt idx="2095">0.75</cx:pt>
          <cx:pt idx="2096">0.4375</cx:pt>
          <cx:pt idx="2097">0.375</cx:pt>
          <cx:pt idx="2098">0.6875</cx:pt>
          <cx:pt idx="2099">0.375</cx:pt>
          <cx:pt idx="2100">0.6875</cx:pt>
          <cx:pt idx="2101">0.25</cx:pt>
          <cx:pt idx="2102">0.6875</cx:pt>
          <cx:pt idx="2103">0.5625</cx:pt>
          <cx:pt idx="2104">0.625</cx:pt>
          <cx:pt idx="2105">0.625</cx:pt>
          <cx:pt idx="2106">0.3125</cx:pt>
          <cx:pt idx="2107">0.375</cx:pt>
          <cx:pt idx="2108">0.5</cx:pt>
          <cx:pt idx="2109">0.625</cx:pt>
          <cx:pt idx="2110">0.5</cx:pt>
          <cx:pt idx="2111">0.4375</cx:pt>
          <cx:pt idx="2112">0.625</cx:pt>
          <cx:pt idx="2113">0.4375</cx:pt>
          <cx:pt idx="2114">0.375</cx:pt>
          <cx:pt idx="2115">0.625</cx:pt>
          <cx:pt idx="2116">0.3125</cx:pt>
          <cx:pt idx="2117">0.8125</cx:pt>
          <cx:pt idx="2118">0.6875</cx:pt>
          <cx:pt idx="2119">0.25</cx:pt>
          <cx:pt idx="2120">0.6875</cx:pt>
          <cx:pt idx="2121">0.6875</cx:pt>
          <cx:pt idx="2122">0.5</cx:pt>
          <cx:pt idx="2123">0.625</cx:pt>
          <cx:pt idx="2124">0.375</cx:pt>
          <cx:pt idx="2125">0.6875</cx:pt>
          <cx:pt idx="2126">0.625</cx:pt>
          <cx:pt idx="2127">0.5</cx:pt>
          <cx:pt idx="2128">0.5</cx:pt>
          <cx:pt idx="2129">0.4375</cx:pt>
          <cx:pt idx="2130">0.6875</cx:pt>
          <cx:pt idx="2131">0.75</cx:pt>
          <cx:pt idx="2132">0.625</cx:pt>
          <cx:pt idx="2133">0.5</cx:pt>
          <cx:pt idx="2134">0.625</cx:pt>
          <cx:pt idx="2135">0.6875</cx:pt>
          <cx:pt idx="2136">0.625</cx:pt>
          <cx:pt idx="2137">0.6875</cx:pt>
          <cx:pt idx="2138">0.5</cx:pt>
          <cx:pt idx="2139">0.625</cx:pt>
          <cx:pt idx="2140">0.75</cx:pt>
          <cx:pt idx="2141">0.75</cx:pt>
          <cx:pt idx="2142">0.625</cx:pt>
          <cx:pt idx="2143">0.625</cx:pt>
          <cx:pt idx="2144">0.4375</cx:pt>
          <cx:pt idx="2145">0.6875</cx:pt>
          <cx:pt idx="2146">0.6875</cx:pt>
          <cx:pt idx="2147">0.5</cx:pt>
          <cx:pt idx="2148">0.4375</cx:pt>
          <cx:pt idx="2149">0.75</cx:pt>
          <cx:pt idx="2150">0.5</cx:pt>
          <cx:pt idx="2151">0.8125</cx:pt>
          <cx:pt idx="2152">0.75</cx:pt>
          <cx:pt idx="2153">0.5625</cx:pt>
          <cx:pt idx="2154">0.75</cx:pt>
          <cx:pt idx="2155">0.75</cx:pt>
          <cx:pt idx="2156">0.6875</cx:pt>
          <cx:pt idx="2157">0.5625</cx:pt>
          <cx:pt idx="2158">0.6875</cx:pt>
          <cx:pt idx="2159">0.625</cx:pt>
          <cx:pt idx="2160">0.625</cx:pt>
          <cx:pt idx="2161">0.5</cx:pt>
          <cx:pt idx="2162">0.5625</cx:pt>
          <cx:pt idx="2163">0.375</cx:pt>
          <cx:pt idx="2164">0.75</cx:pt>
          <cx:pt idx="2165">0.6875</cx:pt>
          <cx:pt idx="2166">0.4375</cx:pt>
          <cx:pt idx="2167">0.375</cx:pt>
          <cx:pt idx="2168">0.75</cx:pt>
          <cx:pt idx="2169">0.625</cx:pt>
          <cx:pt idx="2170">0.6875</cx:pt>
          <cx:pt idx="2171">0.6875</cx:pt>
          <cx:pt idx="2172">0.5</cx:pt>
          <cx:pt idx="2173">0.6875</cx:pt>
          <cx:pt idx="2174">0.75</cx:pt>
          <cx:pt idx="2175">0.5</cx:pt>
          <cx:pt idx="2176">0.6875</cx:pt>
          <cx:pt idx="2177">0.6875</cx:pt>
          <cx:pt idx="2178">0.6875</cx:pt>
          <cx:pt idx="2179">0.5</cx:pt>
          <cx:pt idx="2180">0.75</cx:pt>
          <cx:pt idx="2181">0.625</cx:pt>
          <cx:pt idx="2182">0.5625</cx:pt>
          <cx:pt idx="2183">0.6875</cx:pt>
          <cx:pt idx="2184">0.75</cx:pt>
          <cx:pt idx="2185">0.5</cx:pt>
          <cx:pt idx="2186">0.5625</cx:pt>
          <cx:pt idx="2187">0.5625</cx:pt>
          <cx:pt idx="2188">0.6875</cx:pt>
          <cx:pt idx="2189">0.5625</cx:pt>
          <cx:pt idx="2190">0.5</cx:pt>
          <cx:pt idx="2191">0.75</cx:pt>
          <cx:pt idx="2192">0.75</cx:pt>
          <cx:pt idx="2193">0.4375</cx:pt>
          <cx:pt idx="2194">0.5</cx:pt>
          <cx:pt idx="2195">0.875</cx:pt>
          <cx:pt idx="2196">0.6875</cx:pt>
          <cx:pt idx="2197">0.625</cx:pt>
          <cx:pt idx="2198">0.5625</cx:pt>
          <cx:pt idx="2199">0.6875</cx:pt>
          <cx:pt idx="2200">0.5</cx:pt>
          <cx:pt idx="2201">0.625</cx:pt>
          <cx:pt idx="2202">0.5625</cx:pt>
          <cx:pt idx="2203">0.6875</cx:pt>
          <cx:pt idx="2204">0.6875</cx:pt>
          <cx:pt idx="2205">0.75</cx:pt>
          <cx:pt idx="2206">0.625</cx:pt>
          <cx:pt idx="2207">0.625</cx:pt>
          <cx:pt idx="2208">0.5625</cx:pt>
          <cx:pt idx="2209">0.75</cx:pt>
          <cx:pt idx="2210">0.8125</cx:pt>
          <cx:pt idx="2211">0.375</cx:pt>
          <cx:pt idx="2212">0.8125</cx:pt>
          <cx:pt idx="2213">0.6875</cx:pt>
          <cx:pt idx="2214">0.625</cx:pt>
          <cx:pt idx="2215">0.75</cx:pt>
          <cx:pt idx="2216">0.6875</cx:pt>
          <cx:pt idx="2217">0.6875</cx:pt>
          <cx:pt idx="2218">0.6875</cx:pt>
          <cx:pt idx="2219">0.75</cx:pt>
          <cx:pt idx="2220">0.6875</cx:pt>
          <cx:pt idx="2221">0.6875</cx:pt>
          <cx:pt idx="2222">0.5</cx:pt>
          <cx:pt idx="2223">0.6875</cx:pt>
          <cx:pt idx="2224">0.5625</cx:pt>
          <cx:pt idx="2225">0.625</cx:pt>
          <cx:pt idx="2226">0.875</cx:pt>
          <cx:pt idx="2227">0.5625</cx:pt>
          <cx:pt idx="2228">0.75</cx:pt>
          <cx:pt idx="2229">0.375</cx:pt>
          <cx:pt idx="2230">0.875</cx:pt>
          <cx:pt idx="2231">0.6875</cx:pt>
          <cx:pt idx="2232">0.6875</cx:pt>
          <cx:pt idx="2233">0.75</cx:pt>
          <cx:pt idx="2234">0.75</cx:pt>
          <cx:pt idx="2235">0.6875</cx:pt>
          <cx:pt idx="2236">0.75</cx:pt>
          <cx:pt idx="2237">0.625</cx:pt>
          <cx:pt idx="2238">0.625</cx:pt>
          <cx:pt idx="2239">0.75</cx:pt>
          <cx:pt idx="2240">0.8125</cx:pt>
          <cx:pt idx="2241">0.875</cx:pt>
          <cx:pt idx="2242">0.75</cx:pt>
          <cx:pt idx="2243">0.75</cx:pt>
          <cx:pt idx="2244">0.5625</cx:pt>
          <cx:pt idx="2245">0.75</cx:pt>
          <cx:pt idx="2246">0.75</cx:pt>
          <cx:pt idx="2247">0.75</cx:pt>
          <cx:pt idx="2248">0.6875</cx:pt>
          <cx:pt idx="2249">0.625</cx:pt>
          <cx:pt idx="2250">0.3125</cx:pt>
          <cx:pt idx="2251">0.6875</cx:pt>
          <cx:pt idx="2252">0.625</cx:pt>
          <cx:pt idx="2253">0.4375</cx:pt>
          <cx:pt idx="2254">0.875</cx:pt>
          <cx:pt idx="2255">0.25</cx:pt>
          <cx:pt idx="2256">0.5625</cx:pt>
          <cx:pt idx="2257">0.875</cx:pt>
          <cx:pt idx="2258">0.8125</cx:pt>
          <cx:pt idx="2259">0.4375</cx:pt>
          <cx:pt idx="2260">0.375</cx:pt>
          <cx:pt idx="2261">0.75</cx:pt>
          <cx:pt idx="2262">0.5</cx:pt>
          <cx:pt idx="2263">0.8125</cx:pt>
          <cx:pt idx="2264">0.625</cx:pt>
          <cx:pt idx="2265">0.6875</cx:pt>
          <cx:pt idx="2266">0.25</cx:pt>
          <cx:pt idx="2267">0.625</cx:pt>
          <cx:pt idx="2268">0.75</cx:pt>
          <cx:pt idx="2269">0.4375</cx:pt>
          <cx:pt idx="2270">0.75</cx:pt>
          <cx:pt idx="2271">0.3125</cx:pt>
          <cx:pt idx="2272">0.3125</cx:pt>
          <cx:pt idx="2273">0.625</cx:pt>
          <cx:pt idx="2274">0.6875</cx:pt>
          <cx:pt idx="2275">0.5625</cx:pt>
          <cx:pt idx="2276">0.5625</cx:pt>
          <cx:pt idx="2277">0.6875</cx:pt>
          <cx:pt idx="2278">0.375</cx:pt>
          <cx:pt idx="2279">0.6875</cx:pt>
          <cx:pt idx="2280">0.75</cx:pt>
          <cx:pt idx="2281">0.625</cx:pt>
          <cx:pt idx="2282">0.75</cx:pt>
          <cx:pt idx="2283">0.625</cx:pt>
          <cx:pt idx="2284">0.5</cx:pt>
          <cx:pt idx="2285">0.6875</cx:pt>
          <cx:pt idx="2286">0.6875</cx:pt>
          <cx:pt idx="2287">0.6875</cx:pt>
          <cx:pt idx="2288">0.375</cx:pt>
          <cx:pt idx="2289">0.5625</cx:pt>
          <cx:pt idx="2290">0.75</cx:pt>
          <cx:pt idx="2291">0.4375</cx:pt>
          <cx:pt idx="2292">0.875</cx:pt>
          <cx:pt idx="2293">0.75</cx:pt>
          <cx:pt idx="2294">0.4375</cx:pt>
          <cx:pt idx="2295">0.6875</cx:pt>
          <cx:pt idx="2296">0.625</cx:pt>
          <cx:pt idx="2297">0.625</cx:pt>
          <cx:pt idx="2298">0.6875</cx:pt>
          <cx:pt idx="2299">0.5625</cx:pt>
          <cx:pt idx="2300">0.875</cx:pt>
          <cx:pt idx="2301">0.5625</cx:pt>
          <cx:pt idx="2302">0.5625</cx:pt>
          <cx:pt idx="2303">0.75</cx:pt>
          <cx:pt idx="2304">0.625</cx:pt>
          <cx:pt idx="2305">0.5</cx:pt>
          <cx:pt idx="2306">0.8125</cx:pt>
          <cx:pt idx="2307">0.6875</cx:pt>
          <cx:pt idx="2308">0.5625</cx:pt>
          <cx:pt idx="2309">0.375</cx:pt>
          <cx:pt idx="2310">0.4375</cx:pt>
          <cx:pt idx="2311">0.5</cx:pt>
          <cx:pt idx="2312">0.75</cx:pt>
          <cx:pt idx="2313">0.625</cx:pt>
          <cx:pt idx="2314">0.8125</cx:pt>
          <cx:pt idx="2315">0.3125</cx:pt>
          <cx:pt idx="2316">0.6875</cx:pt>
          <cx:pt idx="2317">0.875</cx:pt>
          <cx:pt idx="2318">0.625</cx:pt>
          <cx:pt idx="2319">0.4375</cx:pt>
          <cx:pt idx="2320">0.375</cx:pt>
          <cx:pt idx="2321">0.5</cx:pt>
          <cx:pt idx="2322">0.75</cx:pt>
          <cx:pt idx="2323">0.6875</cx:pt>
          <cx:pt idx="2324">0.5625</cx:pt>
          <cx:pt idx="2325">0.375</cx:pt>
          <cx:pt idx="2326">0.625</cx:pt>
          <cx:pt idx="2327">0.625</cx:pt>
          <cx:pt idx="2328">0.625</cx:pt>
          <cx:pt idx="2329">0.75</cx:pt>
          <cx:pt idx="2330">0.625</cx:pt>
          <cx:pt idx="2331">0.4375</cx:pt>
          <cx:pt idx="2332">0.8125</cx:pt>
          <cx:pt idx="2333">0.375</cx:pt>
          <cx:pt idx="2334">0.625</cx:pt>
          <cx:pt idx="2335">0.5625</cx:pt>
          <cx:pt idx="2336">0.3125</cx:pt>
          <cx:pt idx="2337">0.625</cx:pt>
          <cx:pt idx="2338">0.5625</cx:pt>
          <cx:pt idx="2339">0.75</cx:pt>
          <cx:pt idx="2340">0.375</cx:pt>
          <cx:pt idx="2341">0.5</cx:pt>
          <cx:pt idx="2342">0.6875</cx:pt>
          <cx:pt idx="2343">0.3125</cx:pt>
          <cx:pt idx="2344">0.5625</cx:pt>
          <cx:pt idx="2345">0.5625</cx:pt>
          <cx:pt idx="2346">0.5</cx:pt>
          <cx:pt idx="2347">0.5625</cx:pt>
          <cx:pt idx="2348">0.5</cx:pt>
          <cx:pt idx="2349">0.6875</cx:pt>
          <cx:pt idx="2350">0.5625</cx:pt>
          <cx:pt idx="2351">0.625</cx:pt>
          <cx:pt idx="2352">0.625</cx:pt>
          <cx:pt idx="2353">0.75</cx:pt>
          <cx:pt idx="2354">0.5625</cx:pt>
          <cx:pt idx="2355">0.6875</cx:pt>
          <cx:pt idx="2356">0.6875</cx:pt>
          <cx:pt idx="2357">0.6875</cx:pt>
          <cx:pt idx="2358">0.75</cx:pt>
          <cx:pt idx="2359">0.625</cx:pt>
          <cx:pt idx="2360">0.5</cx:pt>
          <cx:pt idx="2361">0.6875</cx:pt>
          <cx:pt idx="2362">0.4375</cx:pt>
          <cx:pt idx="2363">0.625</cx:pt>
          <cx:pt idx="2364">0.4375</cx:pt>
          <cx:pt idx="2365">0.5</cx:pt>
          <cx:pt idx="2366">0.375</cx:pt>
          <cx:pt idx="2367">0.6875</cx:pt>
          <cx:pt idx="2368">0.5625</cx:pt>
          <cx:pt idx="2369">0.375</cx:pt>
          <cx:pt idx="2370">0.3125</cx:pt>
          <cx:pt idx="2371">0.75</cx:pt>
          <cx:pt idx="2372">0.3125</cx:pt>
          <cx:pt idx="2373">0.4375</cx:pt>
          <cx:pt idx="2374">0.5625</cx:pt>
          <cx:pt idx="2375">0.5625</cx:pt>
          <cx:pt idx="2376">0.3125</cx:pt>
          <cx:pt idx="2377">0.625</cx:pt>
          <cx:pt idx="2378">0.375</cx:pt>
          <cx:pt idx="2379">0.5625</cx:pt>
          <cx:pt idx="2380">0.375</cx:pt>
          <cx:pt idx="2381">0.625</cx:pt>
          <cx:pt idx="2382">0.375</cx:pt>
          <cx:pt idx="2383">0.5</cx:pt>
          <cx:pt idx="2384">0.625</cx:pt>
          <cx:pt idx="2385">0.5625</cx:pt>
          <cx:pt idx="2386">0.25</cx:pt>
          <cx:pt idx="2387">0.75</cx:pt>
          <cx:pt idx="2388">0.8125</cx:pt>
          <cx:pt idx="2389">0.5625</cx:pt>
          <cx:pt idx="2390">0.4375</cx:pt>
          <cx:pt idx="2391">0.625</cx:pt>
          <cx:pt idx="2392">0.625</cx:pt>
          <cx:pt idx="2393">0.5625</cx:pt>
          <cx:pt idx="2394">0.4375</cx:pt>
          <cx:pt idx="2395">0.3125</cx:pt>
          <cx:pt idx="2396">0.5</cx:pt>
          <cx:pt idx="2397">0.375</cx:pt>
          <cx:pt idx="2398">0.75</cx:pt>
          <cx:pt idx="2399">0.625</cx:pt>
          <cx:pt idx="2400">0.5</cx:pt>
          <cx:pt idx="2401">0.375</cx:pt>
          <cx:pt idx="2402">0.375</cx:pt>
          <cx:pt idx="2403">0.6875</cx:pt>
          <cx:pt idx="2404">0.5</cx:pt>
          <cx:pt idx="2405">0.375</cx:pt>
          <cx:pt idx="2406">0.5</cx:pt>
          <cx:pt idx="2407">0.5</cx:pt>
          <cx:pt idx="2408">0.5</cx:pt>
          <cx:pt idx="2409">0.25</cx:pt>
          <cx:pt idx="2410">0.6875</cx:pt>
          <cx:pt idx="2411">0.5</cx:pt>
          <cx:pt idx="2412">0.625</cx:pt>
          <cx:pt idx="2413">0.6875</cx:pt>
          <cx:pt idx="2414">0.5</cx:pt>
          <cx:pt idx="2415">0.4375</cx:pt>
          <cx:pt idx="2416">0.4375</cx:pt>
          <cx:pt idx="2417">0.75</cx:pt>
          <cx:pt idx="2418">0.4375</cx:pt>
          <cx:pt idx="2419">0.5625</cx:pt>
          <cx:pt idx="2420">0.6875</cx:pt>
          <cx:pt idx="2421">0.5</cx:pt>
          <cx:pt idx="2422">0.5</cx:pt>
          <cx:pt idx="2423">0.4375</cx:pt>
          <cx:pt idx="2424">0.375</cx:pt>
          <cx:pt idx="2425">0.375</cx:pt>
          <cx:pt idx="2426">0.5</cx:pt>
          <cx:pt idx="2427">0.5</cx:pt>
          <cx:pt idx="2428">0.375</cx:pt>
          <cx:pt idx="2429">0.375</cx:pt>
          <cx:pt idx="2430">0.375</cx:pt>
          <cx:pt idx="2431">0.4375</cx:pt>
          <cx:pt idx="2432">0.25</cx:pt>
          <cx:pt idx="2433">0.75</cx:pt>
          <cx:pt idx="2434">0.75</cx:pt>
          <cx:pt idx="2435">0.625</cx:pt>
          <cx:pt idx="2436">0.3125</cx:pt>
          <cx:pt idx="2437">0.75</cx:pt>
          <cx:pt idx="2438">0.625</cx:pt>
          <cx:pt idx="2439">0.1875</cx:pt>
          <cx:pt idx="2440">0.4375</cx:pt>
          <cx:pt idx="2441">0.75</cx:pt>
          <cx:pt idx="2442">0.625</cx:pt>
          <cx:pt idx="2443">0.5625</cx:pt>
          <cx:pt idx="2444">0.8125</cx:pt>
          <cx:pt idx="2445">0.5625</cx:pt>
          <cx:pt idx="2446">0.5625</cx:pt>
          <cx:pt idx="2447">0.5</cx:pt>
          <cx:pt idx="2448">0.8125</cx:pt>
          <cx:pt idx="2449">0.625</cx:pt>
          <cx:pt idx="2450">0.6875</cx:pt>
          <cx:pt idx="2451">0.875</cx:pt>
          <cx:pt idx="2452">0.625</cx:pt>
          <cx:pt idx="2453">0.4375</cx:pt>
          <cx:pt idx="2454">0.6875</cx:pt>
          <cx:pt idx="2455">0.625</cx:pt>
          <cx:pt idx="2456">0.625</cx:pt>
          <cx:pt idx="2457">0.75</cx:pt>
          <cx:pt idx="2458">0.8125</cx:pt>
          <cx:pt idx="2459">0.4375</cx:pt>
          <cx:pt idx="2460">0.75</cx:pt>
          <cx:pt idx="2461">0.5625</cx:pt>
          <cx:pt idx="2462">0.6875</cx:pt>
          <cx:pt idx="2463">0.4375</cx:pt>
          <cx:pt idx="2464">0.375</cx:pt>
          <cx:pt idx="2465">0.625</cx:pt>
          <cx:pt idx="2466">0.5</cx:pt>
          <cx:pt idx="2467">0.375</cx:pt>
          <cx:pt idx="2468">0.9375</cx:pt>
          <cx:pt idx="2469">0.5</cx:pt>
          <cx:pt idx="2470">0.375</cx:pt>
          <cx:pt idx="2471">0.5</cx:pt>
          <cx:pt idx="2472">0.4375</cx:pt>
          <cx:pt idx="2473">0.5</cx:pt>
          <cx:pt idx="2474">0.4375</cx:pt>
          <cx:pt idx="2475">0.5625</cx:pt>
          <cx:pt idx="2476">0.75</cx:pt>
          <cx:pt idx="2477">0.5</cx:pt>
          <cx:pt idx="2478">0.6875</cx:pt>
          <cx:pt idx="2479">0.4375</cx:pt>
          <cx:pt idx="2480">0.25</cx:pt>
          <cx:pt idx="2481">0.625</cx:pt>
          <cx:pt idx="2482">0.75</cx:pt>
          <cx:pt idx="2483">0.625</cx:pt>
          <cx:pt idx="2484">0.8125</cx:pt>
          <cx:pt idx="2485">0.375</cx:pt>
          <cx:pt idx="2486">0.75</cx:pt>
          <cx:pt idx="2487">0.4375</cx:pt>
          <cx:pt idx="2488">0.375</cx:pt>
          <cx:pt idx="2489">0.5</cx:pt>
          <cx:pt idx="2490">0.5</cx:pt>
          <cx:pt idx="2491">0.5</cx:pt>
          <cx:pt idx="2492">0.625</cx:pt>
          <cx:pt idx="2493">0.6875</cx:pt>
          <cx:pt idx="2494">0.5</cx:pt>
          <cx:pt idx="2495">0.75</cx:pt>
          <cx:pt idx="2496">0.5</cx:pt>
          <cx:pt idx="2497">0.3125</cx:pt>
          <cx:pt idx="2498">0.3125</cx:pt>
          <cx:pt idx="2499">0.6875</cx:pt>
          <cx:pt idx="2500">0.5625</cx:pt>
          <cx:pt idx="2501">0.8125</cx:pt>
          <cx:pt idx="2502">0.5625</cx:pt>
          <cx:pt idx="2503">0.5625</cx:pt>
          <cx:pt idx="2504">0.75</cx:pt>
          <cx:pt idx="2505">0.5625</cx:pt>
          <cx:pt idx="2506">0.5625</cx:pt>
          <cx:pt idx="2507">0.6875</cx:pt>
          <cx:pt idx="2508">0.375</cx:pt>
          <cx:pt idx="2509">0.375</cx:pt>
          <cx:pt idx="2510">0.5</cx:pt>
          <cx:pt idx="2511">0.5</cx:pt>
          <cx:pt idx="2512">0.5</cx:pt>
          <cx:pt idx="2513">0.625</cx:pt>
          <cx:pt idx="2514">0.375</cx:pt>
          <cx:pt idx="2515">0.4375</cx:pt>
          <cx:pt idx="2516">0.625</cx:pt>
          <cx:pt idx="2517">0.5625</cx:pt>
          <cx:pt idx="2518">0.5</cx:pt>
          <cx:pt idx="2519">0.5</cx:pt>
          <cx:pt idx="2520">0.5</cx:pt>
          <cx:pt idx="2521">0.625</cx:pt>
          <cx:pt idx="2522">0.5</cx:pt>
          <cx:pt idx="2523">0.5</cx:pt>
          <cx:pt idx="2524">0.9375</cx:pt>
          <cx:pt idx="2525">0.625</cx:pt>
          <cx:pt idx="2526">0.25</cx:pt>
          <cx:pt idx="2527">0.25</cx:pt>
          <cx:pt idx="2528">0.375</cx:pt>
          <cx:pt idx="2529">0.8125</cx:pt>
          <cx:pt idx="2530">0.625</cx:pt>
          <cx:pt idx="2531">0.6875</cx:pt>
          <cx:pt idx="2532">0.6875</cx:pt>
          <cx:pt idx="2533">0.75</cx:pt>
          <cx:pt idx="2534">0.5625</cx:pt>
          <cx:pt idx="2535">0.5625</cx:pt>
          <cx:pt idx="2536">0.5625</cx:pt>
          <cx:pt idx="2537">0.5</cx:pt>
          <cx:pt idx="2538">0.5</cx:pt>
          <cx:pt idx="2539">0.5625</cx:pt>
          <cx:pt idx="2540">0.4375</cx:pt>
          <cx:pt idx="2541">0.3125</cx:pt>
          <cx:pt idx="2542">0.5</cx:pt>
          <cx:pt idx="2543">0.4375</cx:pt>
          <cx:pt idx="2544">0.375</cx:pt>
          <cx:pt idx="2545">0.5625</cx:pt>
          <cx:pt idx="2546">0.4375</cx:pt>
          <cx:pt idx="2547">0.8125</cx:pt>
          <cx:pt idx="2548">0.4375</cx:pt>
          <cx:pt idx="2549">0.75</cx:pt>
          <cx:pt idx="2550">0.6875</cx:pt>
          <cx:pt idx="2551">0.625</cx:pt>
          <cx:pt idx="2552">0.8125</cx:pt>
          <cx:pt idx="2553">0.75</cx:pt>
          <cx:pt idx="2554">0.625</cx:pt>
          <cx:pt idx="2555">0.75</cx:pt>
          <cx:pt idx="2556">0.625</cx:pt>
          <cx:pt idx="2557">0.4375</cx:pt>
          <cx:pt idx="2558">0.75</cx:pt>
          <cx:pt idx="2559">0.5</cx:pt>
          <cx:pt idx="2560">0.5625</cx:pt>
          <cx:pt idx="2561">0.5</cx:pt>
          <cx:pt idx="2562">0.5</cx:pt>
          <cx:pt idx="2563">0.8125</cx:pt>
          <cx:pt idx="2564">0.375</cx:pt>
          <cx:pt idx="2565">0.5</cx:pt>
          <cx:pt idx="2566">0.375</cx:pt>
          <cx:pt idx="2567">0.4375</cx:pt>
          <cx:pt idx="2568">0.625</cx:pt>
          <cx:pt idx="2569">0.5</cx:pt>
          <cx:pt idx="2570">0.75</cx:pt>
          <cx:pt idx="2571">0.5</cx:pt>
          <cx:pt idx="2572">0.375</cx:pt>
          <cx:pt idx="2573">0.5625</cx:pt>
          <cx:pt idx="2574">0.5</cx:pt>
          <cx:pt idx="2575">0.6875</cx:pt>
          <cx:pt idx="2576">0.4375</cx:pt>
          <cx:pt idx="2577">0.625</cx:pt>
          <cx:pt idx="2578">0.4375</cx:pt>
          <cx:pt idx="2579">0.625</cx:pt>
          <cx:pt idx="2580">0.5625</cx:pt>
          <cx:pt idx="2581">0.8125</cx:pt>
          <cx:pt idx="2582">0.6875</cx:pt>
          <cx:pt idx="2583">0.375</cx:pt>
          <cx:pt idx="2584">0.375</cx:pt>
          <cx:pt idx="2585">0.5625</cx:pt>
          <cx:pt idx="2586">0.625</cx:pt>
          <cx:pt idx="2587">0.3125</cx:pt>
          <cx:pt idx="2588">0.5625</cx:pt>
          <cx:pt idx="2589">0.6875</cx:pt>
          <cx:pt idx="2590">0.5625</cx:pt>
          <cx:pt idx="2591">0.375</cx:pt>
          <cx:pt idx="2592">0.4375</cx:pt>
          <cx:pt idx="2593">0.5</cx:pt>
          <cx:pt idx="2594">0.4375</cx:pt>
          <cx:pt idx="2595">0.6875</cx:pt>
          <cx:pt idx="2596">0.5625</cx:pt>
          <cx:pt idx="2597">0.4375</cx:pt>
          <cx:pt idx="2598">0.4375</cx:pt>
          <cx:pt idx="2599">0.6875</cx:pt>
          <cx:pt idx="2600">0.4375</cx:pt>
          <cx:pt idx="2601">0.6875</cx:pt>
          <cx:pt idx="2602">0.8125</cx:pt>
          <cx:pt idx="2603">0.8125</cx:pt>
          <cx:pt idx="2604">0.625</cx:pt>
          <cx:pt idx="2605">0.375</cx:pt>
          <cx:pt idx="2606">0.375</cx:pt>
          <cx:pt idx="2607">0.5625</cx:pt>
          <cx:pt idx="2608">0.5625</cx:pt>
          <cx:pt idx="2609">0.3125</cx:pt>
          <cx:pt idx="2610">0.1875</cx:pt>
          <cx:pt idx="2611">0.6875</cx:pt>
          <cx:pt idx="2612">0.5</cx:pt>
          <cx:pt idx="2613">0.75</cx:pt>
          <cx:pt idx="2614">0.5</cx:pt>
          <cx:pt idx="2615">0.5625</cx:pt>
          <cx:pt idx="2616">0.75</cx:pt>
          <cx:pt idx="2617">0.625</cx:pt>
          <cx:pt idx="2618">0.75</cx:pt>
          <cx:pt idx="2619">0.375</cx:pt>
          <cx:pt idx="2620">0.375</cx:pt>
          <cx:pt idx="2621">0.4375</cx:pt>
          <cx:pt idx="2622">0.5625</cx:pt>
          <cx:pt idx="2623">0.5625</cx:pt>
          <cx:pt idx="2624">0.4375</cx:pt>
          <cx:pt idx="2625">0.875</cx:pt>
          <cx:pt idx="2626">0.625</cx:pt>
          <cx:pt idx="2627">0.5</cx:pt>
          <cx:pt idx="2628">0.375</cx:pt>
          <cx:pt idx="2629">0.6875</cx:pt>
          <cx:pt idx="2630">0.6875</cx:pt>
          <cx:pt idx="2631">0.4375</cx:pt>
          <cx:pt idx="2632">0.6875</cx:pt>
          <cx:pt idx="2633">0.375</cx:pt>
          <cx:pt idx="2634">0.75</cx:pt>
          <cx:pt idx="2635">0.625</cx:pt>
          <cx:pt idx="2636">0.6875</cx:pt>
          <cx:pt idx="2637">0.375</cx:pt>
          <cx:pt idx="2638">0.375</cx:pt>
          <cx:pt idx="2639">0.5</cx:pt>
          <cx:pt idx="2640">0.6875</cx:pt>
          <cx:pt idx="2641">0.375</cx:pt>
          <cx:pt idx="2642">0.5625</cx:pt>
          <cx:pt idx="2643">0.3125</cx:pt>
          <cx:pt idx="2644">0.5625</cx:pt>
          <cx:pt idx="2645">0.3125</cx:pt>
          <cx:pt idx="2646">0.375</cx:pt>
          <cx:pt idx="2647">0.6875</cx:pt>
          <cx:pt idx="2648">0.5625</cx:pt>
          <cx:pt idx="2649">0.25</cx:pt>
          <cx:pt idx="2650">0.4375</cx:pt>
          <cx:pt idx="2651">0.4375</cx:pt>
          <cx:pt idx="2652">0.5</cx:pt>
          <cx:pt idx="2653">0.6875</cx:pt>
          <cx:pt idx="2654">0.5</cx:pt>
          <cx:pt idx="2655">0.5</cx:pt>
          <cx:pt idx="2656">0.25</cx:pt>
          <cx:pt idx="2657">0.375</cx:pt>
          <cx:pt idx="2658">0.375</cx:pt>
          <cx:pt idx="2659">0.375</cx:pt>
          <cx:pt idx="2660">0.8125</cx:pt>
          <cx:pt idx="2661">0.75</cx:pt>
          <cx:pt idx="2662">0.5</cx:pt>
          <cx:pt idx="2663">0.5625</cx:pt>
          <cx:pt idx="2664">0.375</cx:pt>
          <cx:pt idx="2665">0.3125</cx:pt>
          <cx:pt idx="2666">0.625</cx:pt>
          <cx:pt idx="2667">0.5625</cx:pt>
          <cx:pt idx="2668">0.75</cx:pt>
          <cx:pt idx="2669">0.5</cx:pt>
          <cx:pt idx="2670">0.875</cx:pt>
          <cx:pt idx="2671">0.625</cx:pt>
          <cx:pt idx="2672">0.4375</cx:pt>
          <cx:pt idx="2673">0.75</cx:pt>
          <cx:pt idx="2674">0.625</cx:pt>
          <cx:pt idx="2675">0.5</cx:pt>
          <cx:pt idx="2676">0.5625</cx:pt>
          <cx:pt idx="2677">0.75</cx:pt>
          <cx:pt idx="2678">0.375</cx:pt>
          <cx:pt idx="2679">0.5</cx:pt>
          <cx:pt idx="2680">0.75</cx:pt>
          <cx:pt idx="2681">0.5625</cx:pt>
          <cx:pt idx="2682">0.6875</cx:pt>
          <cx:pt idx="2683">0.8125</cx:pt>
          <cx:pt idx="2684">0.375</cx:pt>
          <cx:pt idx="2685">0.5</cx:pt>
          <cx:pt idx="2686">0.6875</cx:pt>
          <cx:pt idx="2687">0.625</cx:pt>
          <cx:pt idx="2688">0.3125</cx:pt>
          <cx:pt idx="2689">0.625</cx:pt>
          <cx:pt idx="2690">0.375</cx:pt>
          <cx:pt idx="2691">0.375</cx:pt>
          <cx:pt idx="2692">0.6875</cx:pt>
          <cx:pt idx="2693">0.6875</cx:pt>
          <cx:pt idx="2694">0.6875</cx:pt>
          <cx:pt idx="2695">0.625</cx:pt>
          <cx:pt idx="2696">0.6875</cx:pt>
          <cx:pt idx="2697">0.75</cx:pt>
          <cx:pt idx="2698">0.75</cx:pt>
          <cx:pt idx="2699">0.3125</cx:pt>
          <cx:pt idx="2700">0.5625</cx:pt>
          <cx:pt idx="2701">0.5625</cx:pt>
          <cx:pt idx="2702">0.5</cx:pt>
          <cx:pt idx="2703">0.375</cx:pt>
          <cx:pt idx="2704">0.625</cx:pt>
          <cx:pt idx="2705">0.375</cx:pt>
          <cx:pt idx="2706">0.5625</cx:pt>
          <cx:pt idx="2707">0.6875</cx:pt>
          <cx:pt idx="2708">0.875</cx:pt>
          <cx:pt idx="2709">0.625</cx:pt>
          <cx:pt idx="2710">0.4375</cx:pt>
          <cx:pt idx="2711">0.5</cx:pt>
          <cx:pt idx="2712">0.375</cx:pt>
          <cx:pt idx="2713">0.375</cx:pt>
          <cx:pt idx="2714">0.25</cx:pt>
          <cx:pt idx="2715">0.75</cx:pt>
          <cx:pt idx="2716">0.625</cx:pt>
          <cx:pt idx="2717">0.625</cx:pt>
          <cx:pt idx="2718">0.5</cx:pt>
          <cx:pt idx="2719">0.375</cx:pt>
          <cx:pt idx="2720">0.5625</cx:pt>
          <cx:pt idx="2721">0.375</cx:pt>
          <cx:pt idx="2722">0.4375</cx:pt>
          <cx:pt idx="2723">0.6875</cx:pt>
          <cx:pt idx="2724">0.5625</cx:pt>
          <cx:pt idx="2725">0.75</cx:pt>
          <cx:pt idx="2726">0.75</cx:pt>
          <cx:pt idx="2727">0.3125</cx:pt>
          <cx:pt idx="2728">0.6875</cx:pt>
          <cx:pt idx="2729">0.375</cx:pt>
          <cx:pt idx="2730">0.6875</cx:pt>
          <cx:pt idx="2731">0.5</cx:pt>
          <cx:pt idx="2732">0.75</cx:pt>
          <cx:pt idx="2733">0.5</cx:pt>
          <cx:pt idx="2734">0.3125</cx:pt>
          <cx:pt idx="2735">0.25</cx:pt>
          <cx:pt idx="2736">0.75</cx:pt>
          <cx:pt idx="2737">0.5</cx:pt>
          <cx:pt idx="2738">0.4375</cx:pt>
          <cx:pt idx="2739">0.5</cx:pt>
          <cx:pt idx="2740">0.625</cx:pt>
          <cx:pt idx="2741">0.625</cx:pt>
          <cx:pt idx="2742">0.8125</cx:pt>
          <cx:pt idx="2743">0.625</cx:pt>
          <cx:pt idx="2744">0.375</cx:pt>
          <cx:pt idx="2745">0.375</cx:pt>
          <cx:pt idx="2746">0.375</cx:pt>
          <cx:pt idx="2747">0.375</cx:pt>
          <cx:pt idx="2748">0.4375</cx:pt>
          <cx:pt idx="2749">0.5625</cx:pt>
          <cx:pt idx="2750">0.625</cx:pt>
          <cx:pt idx="2751">0.5</cx:pt>
          <cx:pt idx="2752">0.8125</cx:pt>
          <cx:pt idx="2753">0.375</cx:pt>
          <cx:pt idx="2754">0.5</cx:pt>
          <cx:pt idx="2755">0.6875</cx:pt>
          <cx:pt idx="2756">0.5</cx:pt>
          <cx:pt idx="2757">0.625</cx:pt>
          <cx:pt idx="2758">0.6875</cx:pt>
          <cx:pt idx="2759">0.5625</cx:pt>
          <cx:pt idx="2760">0.75</cx:pt>
          <cx:pt idx="2761">0.8125</cx:pt>
          <cx:pt idx="2762">0.5</cx:pt>
          <cx:pt idx="2763">0.875</cx:pt>
          <cx:pt idx="2764">0.625</cx:pt>
          <cx:pt idx="2765">0.6875</cx:pt>
          <cx:pt idx="2766">0.4375</cx:pt>
          <cx:pt idx="2767">0.875</cx:pt>
          <cx:pt idx="2768">0.3125</cx:pt>
          <cx:pt idx="2769">0.375</cx:pt>
          <cx:pt idx="2770">0.625</cx:pt>
          <cx:pt idx="2771">0.4375</cx:pt>
          <cx:pt idx="2772">0.75</cx:pt>
          <cx:pt idx="2773">0.375</cx:pt>
          <cx:pt idx="2774">0.75</cx:pt>
          <cx:pt idx="2775">0.8125</cx:pt>
          <cx:pt idx="2776">0.3125</cx:pt>
          <cx:pt idx="2777">0.625</cx:pt>
          <cx:pt idx="2778">0.375</cx:pt>
          <cx:pt idx="2779">0.6875</cx:pt>
          <cx:pt idx="2780">0.4375</cx:pt>
          <cx:pt idx="2781">0.5625</cx:pt>
          <cx:pt idx="2782">0.625</cx:pt>
          <cx:pt idx="2783">0.625</cx:pt>
          <cx:pt idx="2784">0.625</cx:pt>
          <cx:pt idx="2785">0.4375</cx:pt>
          <cx:pt idx="2786">0.1875</cx:pt>
          <cx:pt idx="2787">0.875</cx:pt>
          <cx:pt idx="2788">0.5625</cx:pt>
          <cx:pt idx="2789">0.8125</cx:pt>
          <cx:pt idx="2790">0.8125</cx:pt>
          <cx:pt idx="2791">0.375</cx:pt>
          <cx:pt idx="2792">0.3125</cx:pt>
          <cx:pt idx="2793">0.75</cx:pt>
          <cx:pt idx="2794">0.625</cx:pt>
          <cx:pt idx="2795">0.5625</cx:pt>
          <cx:pt idx="2796">0.5</cx:pt>
          <cx:pt idx="2797">0.5625</cx:pt>
          <cx:pt idx="2798">0.625</cx:pt>
          <cx:pt idx="2799">0.4375</cx:pt>
          <cx:pt idx="2800">0.5</cx:pt>
          <cx:pt idx="2801">0.75</cx:pt>
          <cx:pt idx="2802">0.6875</cx:pt>
          <cx:pt idx="2803">0.5</cx:pt>
          <cx:pt idx="2804">0.75</cx:pt>
          <cx:pt idx="2805">0.625</cx:pt>
          <cx:pt idx="2806">0.5625</cx:pt>
          <cx:pt idx="2807">0.6875</cx:pt>
          <cx:pt idx="2808">0.75</cx:pt>
          <cx:pt idx="2809">0.75</cx:pt>
          <cx:pt idx="2810">0.4375</cx:pt>
          <cx:pt idx="2811">0.8125</cx:pt>
          <cx:pt idx="2812">0.5</cx:pt>
          <cx:pt idx="2813">0.4375</cx:pt>
          <cx:pt idx="2814">0.5625</cx:pt>
          <cx:pt idx="2815">0.5625</cx:pt>
          <cx:pt idx="2816">0.6875</cx:pt>
          <cx:pt idx="2817">0.375</cx:pt>
          <cx:pt idx="2818">0.75</cx:pt>
          <cx:pt idx="2819">0.6875</cx:pt>
          <cx:pt idx="2820">0.625</cx:pt>
          <cx:pt idx="2821">0.375</cx:pt>
          <cx:pt idx="2822">0.5625</cx:pt>
          <cx:pt idx="2823">0.5625</cx:pt>
          <cx:pt idx="2824">0.6875</cx:pt>
          <cx:pt idx="2825">0.5</cx:pt>
          <cx:pt idx="2826">0.625</cx:pt>
          <cx:pt idx="2827">0.4375</cx:pt>
          <cx:pt idx="2828">0.625</cx:pt>
          <cx:pt idx="2829">0.625</cx:pt>
          <cx:pt idx="2830">0.5625</cx:pt>
          <cx:pt idx="2831">0.5625</cx:pt>
          <cx:pt idx="2832">0.6875</cx:pt>
          <cx:pt idx="2833">0.375</cx:pt>
          <cx:pt idx="2834">0.5</cx:pt>
          <cx:pt idx="2835">0.625</cx:pt>
          <cx:pt idx="2836">0.625</cx:pt>
          <cx:pt idx="2837">0.3125</cx:pt>
          <cx:pt idx="2838">0.6875</cx:pt>
          <cx:pt idx="2839">0.5625</cx:pt>
          <cx:pt idx="2840">0.625</cx:pt>
          <cx:pt idx="2841">0.625</cx:pt>
          <cx:pt idx="2842">0.3125</cx:pt>
          <cx:pt idx="2843">0.25</cx:pt>
          <cx:pt idx="2844">0.6875</cx:pt>
          <cx:pt idx="2845">0.6875</cx:pt>
          <cx:pt idx="2846">0.4375</cx:pt>
          <cx:pt idx="2847">0.8125</cx:pt>
          <cx:pt idx="2848">0.5625</cx:pt>
          <cx:pt idx="2849">0.75</cx:pt>
          <cx:pt idx="2850">0.375</cx:pt>
          <cx:pt idx="2851">0.625</cx:pt>
          <cx:pt idx="2852">0.625</cx:pt>
          <cx:pt idx="2853">0.4375</cx:pt>
          <cx:pt idx="2854">0.4375</cx:pt>
          <cx:pt idx="2855">0.5</cx:pt>
          <cx:pt idx="2856">0.6875</cx:pt>
          <cx:pt idx="2857">0.5625</cx:pt>
          <cx:pt idx="2858">0.5625</cx:pt>
          <cx:pt idx="2859">0.1875</cx:pt>
          <cx:pt idx="2860">0.5</cx:pt>
          <cx:pt idx="2861">0.375</cx:pt>
          <cx:pt idx="2862">0.375</cx:pt>
          <cx:pt idx="2863">0.625</cx:pt>
          <cx:pt idx="2864">0.6875</cx:pt>
          <cx:pt idx="2865">0.5625</cx:pt>
          <cx:pt idx="2866">0.5625</cx:pt>
          <cx:pt idx="2867">0.75</cx:pt>
          <cx:pt idx="2868">0.75</cx:pt>
          <cx:pt idx="2869">0.6875</cx:pt>
          <cx:pt idx="2870">0.375</cx:pt>
          <cx:pt idx="2871">0.375</cx:pt>
          <cx:pt idx="2872">0.5</cx:pt>
          <cx:pt idx="2873">0.75</cx:pt>
          <cx:pt idx="2874">0.8125</cx:pt>
          <cx:pt idx="2875">0.625</cx:pt>
          <cx:pt idx="2876">0.75</cx:pt>
          <cx:pt idx="2877">0.375</cx:pt>
          <cx:pt idx="2878">0.5</cx:pt>
          <cx:pt idx="2879">0.5</cx:pt>
          <cx:pt idx="2880">0.625</cx:pt>
          <cx:pt idx="2881">0.875</cx:pt>
          <cx:pt idx="2882">0.5625</cx:pt>
          <cx:pt idx="2883">0.625</cx:pt>
          <cx:pt idx="2884">0.625</cx:pt>
          <cx:pt idx="2885">0.5625</cx:pt>
          <cx:pt idx="2886">0.8125</cx:pt>
          <cx:pt idx="2887">0.75</cx:pt>
          <cx:pt idx="2888">0.75</cx:pt>
          <cx:pt idx="2889">0.625</cx:pt>
          <cx:pt idx="2890">0.25</cx:pt>
          <cx:pt idx="2891">0.5625</cx:pt>
          <cx:pt idx="2892">0.375</cx:pt>
          <cx:pt idx="2893">0.625</cx:pt>
          <cx:pt idx="2894">0.4375</cx:pt>
          <cx:pt idx="2895">0.375</cx:pt>
          <cx:pt idx="2896">0.6875</cx:pt>
          <cx:pt idx="2897">0.75</cx:pt>
          <cx:pt idx="2898">0.625</cx:pt>
          <cx:pt idx="2899">0.75</cx:pt>
          <cx:pt idx="2900">0.5625</cx:pt>
          <cx:pt idx="2901">0.3125</cx:pt>
          <cx:pt idx="2902">0.25</cx:pt>
          <cx:pt idx="2903">0.6875</cx:pt>
          <cx:pt idx="2904">0.625</cx:pt>
          <cx:pt idx="2905">0.375</cx:pt>
          <cx:pt idx="2906">0.1875</cx:pt>
          <cx:pt idx="2907">0.5</cx:pt>
          <cx:pt idx="2908">0.5</cx:pt>
          <cx:pt idx="2909">0.6875</cx:pt>
          <cx:pt idx="2910">0.5</cx:pt>
          <cx:pt idx="2911">0.5</cx:pt>
          <cx:pt idx="2912">0.5</cx:pt>
          <cx:pt idx="2913">0.75</cx:pt>
          <cx:pt idx="2914">0.6875</cx:pt>
          <cx:pt idx="2915">0.75</cx:pt>
          <cx:pt idx="2916">0.375</cx:pt>
          <cx:pt idx="2917">0.5625</cx:pt>
          <cx:pt idx="2918">0.75</cx:pt>
          <cx:pt idx="2919">0.75</cx:pt>
          <cx:pt idx="2920">0.6875</cx:pt>
          <cx:pt idx="2921">0.5</cx:pt>
          <cx:pt idx="2922">0.4375</cx:pt>
          <cx:pt idx="2923">0.4375</cx:pt>
          <cx:pt idx="2924">0.375</cx:pt>
          <cx:pt idx="2925">0.6875</cx:pt>
          <cx:pt idx="2926">0.625</cx:pt>
          <cx:pt idx="2927">0.75</cx:pt>
          <cx:pt idx="2928">0.6875</cx:pt>
          <cx:pt idx="2929">0.5</cx:pt>
          <cx:pt idx="2930">0.875</cx:pt>
          <cx:pt idx="2931">0.75</cx:pt>
          <cx:pt idx="2932">0.4375</cx:pt>
          <cx:pt idx="2933">0.6875</cx:pt>
          <cx:pt idx="2934">0.1875</cx:pt>
          <cx:pt idx="2935">0.375</cx:pt>
          <cx:pt idx="2936">0.5</cx:pt>
          <cx:pt idx="2937">0.75</cx:pt>
          <cx:pt idx="2938">0.5625</cx:pt>
          <cx:pt idx="2939">0.625</cx:pt>
          <cx:pt idx="2940">0.625</cx:pt>
          <cx:pt idx="2941">0.5625</cx:pt>
          <cx:pt idx="2942">0.5</cx:pt>
          <cx:pt idx="2943">0.5625</cx:pt>
          <cx:pt idx="2944">0.5</cx:pt>
          <cx:pt idx="2945">0.4375</cx:pt>
          <cx:pt idx="2946">0.1875</cx:pt>
          <cx:pt idx="2947">0.8125</cx:pt>
          <cx:pt idx="2948">0.625</cx:pt>
          <cx:pt idx="2949">0.75</cx:pt>
          <cx:pt idx="2950">0.6875</cx:pt>
          <cx:pt idx="2951">0.6875</cx:pt>
          <cx:pt idx="2952">0.625</cx:pt>
          <cx:pt idx="2953">0.625</cx:pt>
          <cx:pt idx="2954">0.5</cx:pt>
          <cx:pt idx="2955">0.625</cx:pt>
          <cx:pt idx="2956">0.375</cx:pt>
          <cx:pt idx="2957">0.5</cx:pt>
          <cx:pt idx="2958">0.625</cx:pt>
          <cx:pt idx="2959">0.625</cx:pt>
          <cx:pt idx="2960">0.625</cx:pt>
          <cx:pt idx="2961">0.4375</cx:pt>
          <cx:pt idx="2962">0.25</cx:pt>
          <cx:pt idx="2963">0.8125</cx:pt>
          <cx:pt idx="2964">0.8125</cx:pt>
          <cx:pt idx="2965">0.5</cx:pt>
          <cx:pt idx="2966">0.8125</cx:pt>
          <cx:pt idx="2967">0.4375</cx:pt>
          <cx:pt idx="2968">0.3125</cx:pt>
          <cx:pt idx="2969">0.375</cx:pt>
          <cx:pt idx="2970">0.6875</cx:pt>
          <cx:pt idx="2971">0.5</cx:pt>
          <cx:pt idx="2972">0.3125</cx:pt>
          <cx:pt idx="2973">0.625</cx:pt>
          <cx:pt idx="2974">0.375</cx:pt>
          <cx:pt idx="2975">0.5</cx:pt>
          <cx:pt idx="2976">0.375</cx:pt>
          <cx:pt idx="2977">0.75</cx:pt>
          <cx:pt idx="2978">0.6875</cx:pt>
          <cx:pt idx="2979">0.3125</cx:pt>
          <cx:pt idx="2980">0.375</cx:pt>
          <cx:pt idx="2981">0.5</cx:pt>
          <cx:pt idx="2982">0.375</cx:pt>
          <cx:pt idx="2983">0.375</cx:pt>
          <cx:pt idx="2984">0.375</cx:pt>
          <cx:pt idx="2985">0.375</cx:pt>
          <cx:pt idx="2986">0.5</cx:pt>
          <cx:pt idx="2987">0.625</cx:pt>
          <cx:pt idx="2988">0.6875</cx:pt>
          <cx:pt idx="2989">0.75</cx:pt>
          <cx:pt idx="2990">0.6875</cx:pt>
          <cx:pt idx="2991">0.4375</cx:pt>
          <cx:pt idx="2992">0.375</cx:pt>
          <cx:pt idx="2993">0.375</cx:pt>
          <cx:pt idx="2994">0.625</cx:pt>
          <cx:pt idx="2995">0.75</cx:pt>
          <cx:pt idx="2996">0.5625</cx:pt>
          <cx:pt idx="2997">0.375</cx:pt>
          <cx:pt idx="2998">0.375</cx:pt>
          <cx:pt idx="2999">0.9375</cx:pt>
          <cx:pt idx="3000">0.625</cx:pt>
          <cx:pt idx="3001">0.75</cx:pt>
          <cx:pt idx="3002">0.875</cx:pt>
          <cx:pt idx="3003">0.375</cx:pt>
          <cx:pt idx="3004">0.625</cx:pt>
          <cx:pt idx="3005">0.6875</cx:pt>
          <cx:pt idx="3006">0.5625</cx:pt>
          <cx:pt idx="3007">0.6875</cx:pt>
          <cx:pt idx="3008">0.6875</cx:pt>
          <cx:pt idx="3009">0.75</cx:pt>
          <cx:pt idx="3010">0.625</cx:pt>
          <cx:pt idx="3011">0.9375</cx:pt>
          <cx:pt idx="3012">0.75</cx:pt>
          <cx:pt idx="3013">0.8125</cx:pt>
          <cx:pt idx="3014">0.6875</cx:pt>
          <cx:pt idx="3015">0.3125</cx:pt>
          <cx:pt idx="3016">0.625</cx:pt>
          <cx:pt idx="3017">0.75</cx:pt>
          <cx:pt idx="3018">0.75</cx:pt>
          <cx:pt idx="3019">0.5625</cx:pt>
          <cx:pt idx="3020">0.375</cx:pt>
          <cx:pt idx="3021">0.375</cx:pt>
          <cx:pt idx="3022">0.6875</cx:pt>
          <cx:pt idx="3023">0.4375</cx:pt>
          <cx:pt idx="3024">0.5625</cx:pt>
          <cx:pt idx="3025">0.375</cx:pt>
          <cx:pt idx="3026">0.5</cx:pt>
          <cx:pt idx="3027">0.5625</cx:pt>
          <cx:pt idx="3028">0.625</cx:pt>
          <cx:pt idx="3029">0.375</cx:pt>
          <cx:pt idx="3030">0.375</cx:pt>
          <cx:pt idx="3031">0.625</cx:pt>
          <cx:pt idx="3032">0.25</cx:pt>
          <cx:pt idx="3033">0.375</cx:pt>
          <cx:pt idx="3034">0.6875</cx:pt>
          <cx:pt idx="3035">0.8125</cx:pt>
          <cx:pt idx="3036">0.375</cx:pt>
          <cx:pt idx="3037">0.5</cx:pt>
          <cx:pt idx="3038">0.375</cx:pt>
          <cx:pt idx="3039">0.75</cx:pt>
          <cx:pt idx="3040">0.375</cx:pt>
          <cx:pt idx="3041">0.5</cx:pt>
          <cx:pt idx="3042">0.5</cx:pt>
          <cx:pt idx="3043">0.375</cx:pt>
          <cx:pt idx="3044">0.375</cx:pt>
          <cx:pt idx="3045">0.5625</cx:pt>
          <cx:pt idx="3046">0.75</cx:pt>
          <cx:pt idx="3047">0.5</cx:pt>
          <cx:pt idx="3048">0.75</cx:pt>
          <cx:pt idx="3049">0.6875</cx:pt>
          <cx:pt idx="3050">0.75</cx:pt>
          <cx:pt idx="3051">0.6875</cx:pt>
          <cx:pt idx="3052">0.6875</cx:pt>
          <cx:pt idx="3053">0.5</cx:pt>
          <cx:pt idx="3054">0.375</cx:pt>
          <cx:pt idx="3055">0.4375</cx:pt>
          <cx:pt idx="3056">0.375</cx:pt>
          <cx:pt idx="3057">0.5625</cx:pt>
          <cx:pt idx="3058">0.375</cx:pt>
          <cx:pt idx="3059">0.375</cx:pt>
          <cx:pt idx="3060">0.4375</cx:pt>
          <cx:pt idx="3061">0.375</cx:pt>
          <cx:pt idx="3062">0.3125</cx:pt>
          <cx:pt idx="3063">0.75</cx:pt>
          <cx:pt idx="3064">0.375</cx:pt>
          <cx:pt idx="3065">0.625</cx:pt>
          <cx:pt idx="3066">0.5</cx:pt>
          <cx:pt idx="3067">0.4375</cx:pt>
          <cx:pt idx="3068">0.6875</cx:pt>
          <cx:pt idx="3069">0.5625</cx:pt>
          <cx:pt idx="3070">0.75</cx:pt>
          <cx:pt idx="3071">0.6875</cx:pt>
          <cx:pt idx="3072">0.75</cx:pt>
          <cx:pt idx="3073">0.5</cx:pt>
          <cx:pt idx="3074">0.6875</cx:pt>
          <cx:pt idx="3075">0.625</cx:pt>
          <cx:pt idx="3076">0.6875</cx:pt>
          <cx:pt idx="3077">0.4375</cx:pt>
          <cx:pt idx="3078">0.625</cx:pt>
          <cx:pt idx="3079">0.5</cx:pt>
          <cx:pt idx="3080">0.875</cx:pt>
          <cx:pt idx="3081">0.5625</cx:pt>
          <cx:pt idx="3082">0.5</cx:pt>
          <cx:pt idx="3083">0.375</cx:pt>
          <cx:pt idx="3084">0.5</cx:pt>
          <cx:pt idx="3085">0.4375</cx:pt>
          <cx:pt idx="3086">0.625</cx:pt>
          <cx:pt idx="3087">0.375</cx:pt>
          <cx:pt idx="3088">0.5</cx:pt>
          <cx:pt idx="3089">0.25</cx:pt>
          <cx:pt idx="3090">0.5</cx:pt>
          <cx:pt idx="3091">0.5</cx:pt>
          <cx:pt idx="3092">0.5</cx:pt>
          <cx:pt idx="3093">0.5</cx:pt>
          <cx:pt idx="3094">0.375</cx:pt>
          <cx:pt idx="3095">0.5</cx:pt>
          <cx:pt idx="3096">0.6875</cx:pt>
          <cx:pt idx="3097">0.5</cx:pt>
          <cx:pt idx="3098">0.4375</cx:pt>
          <cx:pt idx="3099">0.5625</cx:pt>
          <cx:pt idx="3100">0.375</cx:pt>
          <cx:pt idx="3101">0.625</cx:pt>
          <cx:pt idx="3102">0.6875</cx:pt>
          <cx:pt idx="3103">0.75</cx:pt>
          <cx:pt idx="3104">0.5</cx:pt>
          <cx:pt idx="3105">0.3125</cx:pt>
          <cx:pt idx="3106">0.625</cx:pt>
          <cx:pt idx="3107">0.5625</cx:pt>
          <cx:pt idx="3108">0.6875</cx:pt>
          <cx:pt idx="3109">0.6875</cx:pt>
          <cx:pt idx="3110">0.5625</cx:pt>
          <cx:pt idx="3111">0.3125</cx:pt>
          <cx:pt idx="3112">0.4375</cx:pt>
          <cx:pt idx="3113">0.6875</cx:pt>
          <cx:pt idx="3114">0.625</cx:pt>
          <cx:pt idx="3115">0.5</cx:pt>
          <cx:pt idx="3116">0.375</cx:pt>
          <cx:pt idx="3117">0.5</cx:pt>
          <cx:pt idx="3118">0.375</cx:pt>
          <cx:pt idx="3119">0.75</cx:pt>
          <cx:pt idx="3120">0.4375</cx:pt>
          <cx:pt idx="3121">0.375</cx:pt>
          <cx:pt idx="3122">0.375</cx:pt>
          <cx:pt idx="3123">0.3125</cx:pt>
          <cx:pt idx="3124">0.3125</cx:pt>
          <cx:pt idx="3125">0.375</cx:pt>
          <cx:pt idx="3126">0.875</cx:pt>
          <cx:pt idx="3127">0.625</cx:pt>
          <cx:pt idx="3128">0.75</cx:pt>
          <cx:pt idx="3129">0.375</cx:pt>
          <cx:pt idx="3130">0.5625</cx:pt>
          <cx:pt idx="3131">0.5625</cx:pt>
          <cx:pt idx="3132">0.3125</cx:pt>
          <cx:pt idx="3133">0.5</cx:pt>
          <cx:pt idx="3134">0.5</cx:pt>
          <cx:pt idx="3135">0.3125</cx:pt>
          <cx:pt idx="3136">0.625</cx:pt>
          <cx:pt idx="3137">0.375</cx:pt>
          <cx:pt idx="3138">0.3125</cx:pt>
          <cx:pt idx="3139">0.8125</cx:pt>
          <cx:pt idx="3140">0.6875</cx:pt>
          <cx:pt idx="3141">0.4375</cx:pt>
          <cx:pt idx="3142">0.8125</cx:pt>
          <cx:pt idx="3143">0.75</cx:pt>
          <cx:pt idx="3144">0.375</cx:pt>
          <cx:pt idx="3145">0.5</cx:pt>
          <cx:pt idx="3146">0.625</cx:pt>
          <cx:pt idx="3147">0.4375</cx:pt>
          <cx:pt idx="3148">0.5625</cx:pt>
          <cx:pt idx="3149">0.5625</cx:pt>
          <cx:pt idx="3150">0.5625</cx:pt>
          <cx:pt idx="3151">0.4375</cx:pt>
          <cx:pt idx="3152">0.375</cx:pt>
          <cx:pt idx="3153">0.5625</cx:pt>
          <cx:pt idx="3154">0.5</cx:pt>
          <cx:pt idx="3155">0.5</cx:pt>
          <cx:pt idx="3156">0.25</cx:pt>
          <cx:pt idx="3157">0.6875</cx:pt>
          <cx:pt idx="3158">0.625</cx:pt>
          <cx:pt idx="3159">0.3125</cx:pt>
          <cx:pt idx="3160">0.8125</cx:pt>
          <cx:pt idx="3161">0.5</cx:pt>
          <cx:pt idx="3162">0.75</cx:pt>
          <cx:pt idx="3163">0.625</cx:pt>
          <cx:pt idx="3164">0.625</cx:pt>
          <cx:pt idx="3165">0.625</cx:pt>
          <cx:pt idx="3166">0.375</cx:pt>
          <cx:pt idx="3167">0.3125</cx:pt>
          <cx:pt idx="3168">0.8125</cx:pt>
          <cx:pt idx="3169">0.25</cx:pt>
          <cx:pt idx="3170">0.3125</cx:pt>
          <cx:pt idx="3171">0.625</cx:pt>
          <cx:pt idx="3172">0.75</cx:pt>
          <cx:pt idx="3173">0.4375</cx:pt>
          <cx:pt idx="3174">0.1875</cx:pt>
          <cx:pt idx="3175">0.4375</cx:pt>
          <cx:pt idx="3176">0.4375</cx:pt>
          <cx:pt idx="3177">0.5625</cx:pt>
          <cx:pt idx="3178">0.75</cx:pt>
          <cx:pt idx="3179">0.5</cx:pt>
          <cx:pt idx="3180">0.375</cx:pt>
          <cx:pt idx="3181">0.25</cx:pt>
          <cx:pt idx="3182">0.5</cx:pt>
          <cx:pt idx="3183">0.3125</cx:pt>
          <cx:pt idx="3184">0.4375</cx:pt>
          <cx:pt idx="3185">0.3125</cx:pt>
          <cx:pt idx="3186">0.25</cx:pt>
          <cx:pt idx="3187">0.375</cx:pt>
          <cx:pt idx="3188">0.375</cx:pt>
          <cx:pt idx="3189">0.5</cx:pt>
          <cx:pt idx="3190">0.375</cx:pt>
          <cx:pt idx="3191">0.625</cx:pt>
          <cx:pt idx="3192">0.625</cx:pt>
          <cx:pt idx="3193">0.5</cx:pt>
          <cx:pt idx="3194">0.375</cx:pt>
          <cx:pt idx="3195">0.8125</cx:pt>
          <cx:pt idx="3196">0.5625</cx:pt>
          <cx:pt idx="3197">0.8125</cx:pt>
          <cx:pt idx="3198">0.375</cx:pt>
          <cx:pt idx="3199">0.625</cx:pt>
          <cx:pt idx="3200">0.25</cx:pt>
          <cx:pt idx="3201">0.375</cx:pt>
          <cx:pt idx="3202">0.4375</cx:pt>
          <cx:pt idx="3203">0.625</cx:pt>
          <cx:pt idx="3204">0.625</cx:pt>
          <cx:pt idx="3205">0.3125</cx:pt>
          <cx:pt idx="3206">0.375</cx:pt>
          <cx:pt idx="3207">0.4375</cx:pt>
          <cx:pt idx="3208">0.625</cx:pt>
          <cx:pt idx="3209">0.6875</cx:pt>
          <cx:pt idx="3210">0.625</cx:pt>
          <cx:pt idx="3211">0.25</cx:pt>
          <cx:pt idx="3212">0.25</cx:pt>
          <cx:pt idx="3213">0.3125</cx:pt>
          <cx:pt idx="3214">0.375</cx:pt>
          <cx:pt idx="3215">0.6875</cx:pt>
          <cx:pt idx="3216">0.3125</cx:pt>
          <cx:pt idx="3217">0.5</cx:pt>
          <cx:pt idx="3218">0.6875</cx:pt>
          <cx:pt idx="3219">0.625</cx:pt>
          <cx:pt idx="3220">0.6875</cx:pt>
          <cx:pt idx="3221">0.3125</cx:pt>
          <cx:pt idx="3222">0.1875</cx:pt>
          <cx:pt idx="3223">0.625</cx:pt>
          <cx:pt idx="3224">0.3125</cx:pt>
          <cx:pt idx="3225">0.5625</cx:pt>
          <cx:pt idx="3226">0.5625</cx:pt>
          <cx:pt idx="3227">0.375</cx:pt>
          <cx:pt idx="3228">0.375</cx:pt>
          <cx:pt idx="3229">0.625</cx:pt>
          <cx:pt idx="3230">0.75</cx:pt>
          <cx:pt idx="3231">0.625</cx:pt>
          <cx:pt idx="3232">0.4375</cx:pt>
          <cx:pt idx="3233">0.4375</cx:pt>
          <cx:pt idx="3234">0.25</cx:pt>
          <cx:pt idx="3235">0.375</cx:pt>
          <cx:pt idx="3236">0.6875</cx:pt>
          <cx:pt idx="3237">0.25</cx:pt>
          <cx:pt idx="3238">0.5625</cx:pt>
          <cx:pt idx="3239">0.5625</cx:pt>
          <cx:pt idx="3240">0.375</cx:pt>
          <cx:pt idx="3241">0.375</cx:pt>
          <cx:pt idx="3242">0.5625</cx:pt>
          <cx:pt idx="3243">0.6875</cx:pt>
          <cx:pt idx="3244">0.25</cx:pt>
          <cx:pt idx="3245">0.5625</cx:pt>
          <cx:pt idx="3246">0.4375</cx:pt>
          <cx:pt idx="3247">0.375</cx:pt>
          <cx:pt idx="3248">0.4375</cx:pt>
          <cx:pt idx="3249">0.625</cx:pt>
          <cx:pt idx="3250">0.375</cx:pt>
          <cx:pt idx="3251">0.6875</cx:pt>
          <cx:pt idx="3252">0.375</cx:pt>
          <cx:pt idx="3253">0.625</cx:pt>
          <cx:pt idx="3254">0.4375</cx:pt>
          <cx:pt idx="3255">0.75</cx:pt>
          <cx:pt idx="3256">0.375</cx:pt>
          <cx:pt idx="3257">0.375</cx:pt>
          <cx:pt idx="3258">0.6875</cx:pt>
          <cx:pt idx="3259">0.875</cx:pt>
          <cx:pt idx="3260">0.75</cx:pt>
          <cx:pt idx="3261">0.5</cx:pt>
          <cx:pt idx="3262">0.4375</cx:pt>
          <cx:pt idx="3263">0.5</cx:pt>
          <cx:pt idx="3264">0.75</cx:pt>
          <cx:pt idx="3265">0.375</cx:pt>
          <cx:pt idx="3266">0.25</cx:pt>
          <cx:pt idx="3267">0.75</cx:pt>
          <cx:pt idx="3268">0.3125</cx:pt>
          <cx:pt idx="3269">0.375</cx:pt>
          <cx:pt idx="3270">0.375</cx:pt>
          <cx:pt idx="3271">0.5625</cx:pt>
          <cx:pt idx="3272">0.75</cx:pt>
          <cx:pt idx="3273">0.75</cx:pt>
          <cx:pt idx="3274">0.375</cx:pt>
          <cx:pt idx="3275">0.375</cx:pt>
          <cx:pt idx="3276">0.625</cx:pt>
          <cx:pt idx="3277">0.5625</cx:pt>
          <cx:pt idx="3278">0.5625</cx:pt>
          <cx:pt idx="3279">0.5</cx:pt>
          <cx:pt idx="3280">0.6875</cx:pt>
          <cx:pt idx="3281">0.4375</cx:pt>
          <cx:pt idx="3282">0.6875</cx:pt>
          <cx:pt idx="3283">0.4375</cx:pt>
          <cx:pt idx="3284">0.625</cx:pt>
          <cx:pt idx="3285">0.5625</cx:pt>
          <cx:pt idx="3286">0.5</cx:pt>
          <cx:pt idx="3287">0.5625</cx:pt>
          <cx:pt idx="3288">0.5625</cx:pt>
          <cx:pt idx="3289">0.625</cx:pt>
          <cx:pt idx="3290">0.25</cx:pt>
          <cx:pt idx="3291">0.375</cx:pt>
          <cx:pt idx="3292">0.5</cx:pt>
          <cx:pt idx="3293">0.4375</cx:pt>
          <cx:pt idx="3294">0.375</cx:pt>
          <cx:pt idx="3295">0.75</cx:pt>
          <cx:pt idx="3296">0.5625</cx:pt>
          <cx:pt idx="3297">0.4375</cx:pt>
          <cx:pt idx="3298">0.875</cx:pt>
          <cx:pt idx="3299">0.375</cx:pt>
          <cx:pt idx="3300">0.25</cx:pt>
          <cx:pt idx="3301">0.5625</cx:pt>
          <cx:pt idx="3302">0.5</cx:pt>
          <cx:pt idx="3303">0.5625</cx:pt>
          <cx:pt idx="3304">0.3125</cx:pt>
          <cx:pt idx="3305">0.5</cx:pt>
          <cx:pt idx="3306">0.5</cx:pt>
          <cx:pt idx="3307">0.375</cx:pt>
          <cx:pt idx="3308">0.3125</cx:pt>
          <cx:pt idx="3309">0.375</cx:pt>
          <cx:pt idx="3310">0.1875</cx:pt>
          <cx:pt idx="3311">0.6875</cx:pt>
          <cx:pt idx="3312">0.75</cx:pt>
          <cx:pt idx="3313">0.875</cx:pt>
          <cx:pt idx="3314">0.625</cx:pt>
          <cx:pt idx="3315">0.8125</cx:pt>
          <cx:pt idx="3316">0.5</cx:pt>
          <cx:pt idx="3317">0.5625</cx:pt>
          <cx:pt idx="3318">0.5625</cx:pt>
          <cx:pt idx="3319">0.375</cx:pt>
          <cx:pt idx="3320">0.6875</cx:pt>
          <cx:pt idx="3321">0.625</cx:pt>
          <cx:pt idx="3322">0.75</cx:pt>
          <cx:pt idx="3323">0.5625</cx:pt>
          <cx:pt idx="3324">0.875</cx:pt>
          <cx:pt idx="3325">0.4375</cx:pt>
          <cx:pt idx="3326">0.4375</cx:pt>
          <cx:pt idx="3327">0.5</cx:pt>
          <cx:pt idx="3328">0.4375</cx:pt>
          <cx:pt idx="3329">0.9375</cx:pt>
          <cx:pt idx="3330">0.9375</cx:pt>
          <cx:pt idx="3331">0.375</cx:pt>
          <cx:pt idx="3332">0.5625</cx:pt>
          <cx:pt idx="3333">0.375</cx:pt>
          <cx:pt idx="3334">0.5625</cx:pt>
          <cx:pt idx="3335">0.625</cx:pt>
          <cx:pt idx="3336">0.625</cx:pt>
          <cx:pt idx="3337">0.4375</cx:pt>
          <cx:pt idx="3338">0.4375</cx:pt>
          <cx:pt idx="3339">0.8125</cx:pt>
          <cx:pt idx="3340">0.4375</cx:pt>
          <cx:pt idx="3341">0.625</cx:pt>
          <cx:pt idx="3342">0.8125</cx:pt>
          <cx:pt idx="3343">0.4375</cx:pt>
          <cx:pt idx="3344">0.5</cx:pt>
          <cx:pt idx="3345">0.75</cx:pt>
          <cx:pt idx="3346">0.5625</cx:pt>
          <cx:pt idx="3347">0.375</cx:pt>
          <cx:pt idx="3348">0.1875</cx:pt>
          <cx:pt idx="3349">0.5625</cx:pt>
          <cx:pt idx="3350">0.375</cx:pt>
          <cx:pt idx="3351">0.1875</cx:pt>
          <cx:pt idx="3352">0.375</cx:pt>
          <cx:pt idx="3353">0.875</cx:pt>
          <cx:pt idx="3354">0.8125</cx:pt>
          <cx:pt idx="3355">0.375</cx:pt>
          <cx:pt idx="3356">0.375</cx:pt>
          <cx:pt idx="3357">0.3125</cx:pt>
          <cx:pt idx="3358">0.5625</cx:pt>
          <cx:pt idx="3359">0.5625</cx:pt>
          <cx:pt idx="3360">0.5625</cx:pt>
          <cx:pt idx="3361">0.6875</cx:pt>
          <cx:pt idx="3362">0.375</cx:pt>
          <cx:pt idx="3363">0.4375</cx:pt>
          <cx:pt idx="3364">0.625</cx:pt>
          <cx:pt idx="3365">0.25</cx:pt>
          <cx:pt idx="3366">0.5</cx:pt>
          <cx:pt idx="3367">0.375</cx:pt>
          <cx:pt idx="3368">0.375</cx:pt>
          <cx:pt idx="3369">0.6875</cx:pt>
          <cx:pt idx="3370">0.8125</cx:pt>
          <cx:pt idx="3371">0.5625</cx:pt>
          <cx:pt idx="3372">0.6875</cx:pt>
          <cx:pt idx="3373">0.25</cx:pt>
          <cx:pt idx="3374">0.6875</cx:pt>
          <cx:pt idx="3375">0.5625</cx:pt>
          <cx:pt idx="3376">0.5625</cx:pt>
          <cx:pt idx="3377">0.75</cx:pt>
          <cx:pt idx="3378">0.25</cx:pt>
          <cx:pt idx="3379">0.3125</cx:pt>
          <cx:pt idx="3380">0.375</cx:pt>
          <cx:pt idx="3381">0.5</cx:pt>
          <cx:pt idx="3382">0.625</cx:pt>
          <cx:pt idx="3383">0.4375</cx:pt>
          <cx:pt idx="3384">0.6875</cx:pt>
          <cx:pt idx="3385">0.875</cx:pt>
          <cx:pt idx="3386">0.75</cx:pt>
          <cx:pt idx="3387">0.5625</cx:pt>
          <cx:pt idx="3388">0.6875</cx:pt>
          <cx:pt idx="3389">0.375</cx:pt>
          <cx:pt idx="3390">0.375</cx:pt>
          <cx:pt idx="3391">0.4375</cx:pt>
          <cx:pt idx="3392">0.8125</cx:pt>
          <cx:pt idx="3393">0.875</cx:pt>
          <cx:pt idx="3394">0.625</cx:pt>
          <cx:pt idx="3395">0.5</cx:pt>
          <cx:pt idx="3396">0.5</cx:pt>
          <cx:pt idx="3397">0.4375</cx:pt>
          <cx:pt idx="3398">0.875</cx:pt>
          <cx:pt idx="3399">0.5625</cx:pt>
          <cx:pt idx="3400">0.5</cx:pt>
          <cx:pt idx="3401">0.4375</cx:pt>
          <cx:pt idx="3402">0.75</cx:pt>
          <cx:pt idx="3403">0.4375</cx:pt>
          <cx:pt idx="3404">0.375</cx:pt>
          <cx:pt idx="3405">0.75</cx:pt>
          <cx:pt idx="3406">0.5</cx:pt>
          <cx:pt idx="3407">0.5</cx:pt>
          <cx:pt idx="3408">0.375</cx:pt>
          <cx:pt idx="3409">0.5625</cx:pt>
          <cx:pt idx="3410">0.625</cx:pt>
          <cx:pt idx="3411">0.8125</cx:pt>
          <cx:pt idx="3412">0.5625</cx:pt>
          <cx:pt idx="3413">0.625</cx:pt>
          <cx:pt idx="3414">0.4375</cx:pt>
          <cx:pt idx="3415">0.375</cx:pt>
          <cx:pt idx="3416">0.375</cx:pt>
          <cx:pt idx="3417">0.1875</cx:pt>
          <cx:pt idx="3418">0.6875</cx:pt>
          <cx:pt idx="3419">0.8125</cx:pt>
          <cx:pt idx="3420">0.4375</cx:pt>
          <cx:pt idx="3421">0.4375</cx:pt>
          <cx:pt idx="3422">0.3125</cx:pt>
          <cx:pt idx="3423">0.5</cx:pt>
          <cx:pt idx="3424">0.625</cx:pt>
          <cx:pt idx="3425">0.6875</cx:pt>
          <cx:pt idx="3426">0.5625</cx:pt>
          <cx:pt idx="3427">0.6875</cx:pt>
          <cx:pt idx="3428">0.4375</cx:pt>
          <cx:pt idx="3429">0.375</cx:pt>
          <cx:pt idx="3430">0.5</cx:pt>
          <cx:pt idx="3431">0.375</cx:pt>
          <cx:pt idx="3432">0.375</cx:pt>
          <cx:pt idx="3433">0.4375</cx:pt>
          <cx:pt idx="3434">0.4375</cx:pt>
          <cx:pt idx="3435">0.4375</cx:pt>
          <cx:pt idx="3436">0.5</cx:pt>
          <cx:pt idx="3437">0.375</cx:pt>
          <cx:pt idx="3438">0.625</cx:pt>
          <cx:pt idx="3439">0.3125</cx:pt>
          <cx:pt idx="3440">0.5</cx:pt>
          <cx:pt idx="3441">0.375</cx:pt>
          <cx:pt idx="3442">0.625</cx:pt>
          <cx:pt idx="3443">0.375</cx:pt>
          <cx:pt idx="3444">0.5625</cx:pt>
          <cx:pt idx="3445">0.5</cx:pt>
          <cx:pt idx="3446">0.375</cx:pt>
          <cx:pt idx="3447">0.5625</cx:pt>
          <cx:pt idx="3448">0.75</cx:pt>
          <cx:pt idx="3449">0.5</cx:pt>
          <cx:pt idx="3450">0.5625</cx:pt>
          <cx:pt idx="3451">0.6875</cx:pt>
          <cx:pt idx="3452">0.6875</cx:pt>
          <cx:pt idx="3453">0.5</cx:pt>
          <cx:pt idx="3454">0.4375</cx:pt>
          <cx:pt idx="3455">0.8125</cx:pt>
          <cx:pt idx="3456">0.75</cx:pt>
          <cx:pt idx="3457">0.5</cx:pt>
          <cx:pt idx="3458">0.375</cx:pt>
          <cx:pt idx="3459">0.4375</cx:pt>
          <cx:pt idx="3460">0.3125</cx:pt>
          <cx:pt idx="3461">0.5</cx:pt>
          <cx:pt idx="3462">0.6875</cx:pt>
          <cx:pt idx="3463">0.375</cx:pt>
          <cx:pt idx="3464">0.5625</cx:pt>
          <cx:pt idx="3465">0.375</cx:pt>
          <cx:pt idx="3466">0.375</cx:pt>
          <cx:pt idx="3467">0.625</cx:pt>
          <cx:pt idx="3468">0.5625</cx:pt>
          <cx:pt idx="3469">0.5</cx:pt>
          <cx:pt idx="3470">0.5625</cx:pt>
          <cx:pt idx="3471">0.625</cx:pt>
          <cx:pt idx="3472">0.4375</cx:pt>
          <cx:pt idx="3473">0.6875</cx:pt>
          <cx:pt idx="3474">0.5625</cx:pt>
          <cx:pt idx="3475">0.8125</cx:pt>
          <cx:pt idx="3476">0.5625</cx:pt>
          <cx:pt idx="3477">0.25</cx:pt>
          <cx:pt idx="3478">0.5</cx:pt>
          <cx:pt idx="3479">0.5625</cx:pt>
          <cx:pt idx="3480">0.5</cx:pt>
          <cx:pt idx="3481">0.4375</cx:pt>
          <cx:pt idx="3482">0.5</cx:pt>
          <cx:pt idx="3483">0.75</cx:pt>
          <cx:pt idx="3484">0.5</cx:pt>
          <cx:pt idx="3485">0.375</cx:pt>
          <cx:pt idx="3486">0.625</cx:pt>
          <cx:pt idx="3487">0.5625</cx:pt>
          <cx:pt idx="3488">0.5625</cx:pt>
          <cx:pt idx="3489">0.75</cx:pt>
          <cx:pt idx="3490">0.5625</cx:pt>
          <cx:pt idx="3491">0.625</cx:pt>
          <cx:pt idx="3492">0.5625</cx:pt>
          <cx:pt idx="3493">0.5</cx:pt>
          <cx:pt idx="3494">0.4375</cx:pt>
          <cx:pt idx="3495">0.4375</cx:pt>
          <cx:pt idx="3496">0.625</cx:pt>
          <cx:pt idx="3497">0.375</cx:pt>
          <cx:pt idx="3498">0.625</cx:pt>
          <cx:pt idx="3499">0.5625</cx:pt>
          <cx:pt idx="3500">0.5</cx:pt>
          <cx:pt idx="3501">0.6875</cx:pt>
          <cx:pt idx="3502">0.4375</cx:pt>
          <cx:pt idx="3503">0.625</cx:pt>
          <cx:pt idx="3504">0.1875</cx:pt>
          <cx:pt idx="3505">0.5625</cx:pt>
          <cx:pt idx="3506">0.375</cx:pt>
          <cx:pt idx="3507">0.5</cx:pt>
          <cx:pt idx="3508">0.5</cx:pt>
          <cx:pt idx="3509">0.5</cx:pt>
          <cx:pt idx="3510">0.25</cx:pt>
          <cx:pt idx="3511">0.6875</cx:pt>
          <cx:pt idx="3512">0.5625</cx:pt>
          <cx:pt idx="3513">0.625</cx:pt>
          <cx:pt idx="3514">0.6875</cx:pt>
          <cx:pt idx="3515">0.4375</cx:pt>
          <cx:pt idx="3516">0.25</cx:pt>
          <cx:pt idx="3517">0.5</cx:pt>
          <cx:pt idx="3518">0.625</cx:pt>
          <cx:pt idx="3519">0.5</cx:pt>
          <cx:pt idx="3520">0.4375</cx:pt>
          <cx:pt idx="3521">0.625</cx:pt>
          <cx:pt idx="3522">0.4375</cx:pt>
          <cx:pt idx="3523">0.25</cx:pt>
          <cx:pt idx="3524">0.6875</cx:pt>
          <cx:pt idx="3525">0.5625</cx:pt>
          <cx:pt idx="3526">0.4375</cx:pt>
          <cx:pt idx="3527">0.4375</cx:pt>
          <cx:pt idx="3528">0.375</cx:pt>
          <cx:pt idx="3529">0.625</cx:pt>
          <cx:pt idx="3530">0.1875</cx:pt>
          <cx:pt idx="3531">0.25</cx:pt>
          <cx:pt idx="3532">0.875</cx:pt>
          <cx:pt idx="3533">0.5</cx:pt>
          <cx:pt idx="3534">0.6875</cx:pt>
          <cx:pt idx="3535">0.625</cx:pt>
          <cx:pt idx="3536">0.3125</cx:pt>
          <cx:pt idx="3537">0.5</cx:pt>
          <cx:pt idx="3538">0.5</cx:pt>
          <cx:pt idx="3539">0.625</cx:pt>
          <cx:pt idx="3540">0.5</cx:pt>
          <cx:pt idx="3541">0.375</cx:pt>
          <cx:pt idx="3542">0.5625</cx:pt>
          <cx:pt idx="3543">0.875</cx:pt>
          <cx:pt idx="3544">0.5625</cx:pt>
          <cx:pt idx="3545">0.5625</cx:pt>
          <cx:pt idx="3546">0.5625</cx:pt>
          <cx:pt idx="3547">0.375</cx:pt>
          <cx:pt idx="3548">0.3125</cx:pt>
          <cx:pt idx="3549">0.75</cx:pt>
          <cx:pt idx="3550">0.6875</cx:pt>
          <cx:pt idx="3551">0.375</cx:pt>
          <cx:pt idx="3552">0.3125</cx:pt>
          <cx:pt idx="3553">0.4375</cx:pt>
          <cx:pt idx="3554">0.375</cx:pt>
          <cx:pt idx="3555">0.375</cx:pt>
          <cx:pt idx="3556">0.375</cx:pt>
          <cx:pt idx="3557">0.25</cx:pt>
          <cx:pt idx="3558">0.375</cx:pt>
          <cx:pt idx="3559">0.375</cx:pt>
          <cx:pt idx="3560">0.5625</cx:pt>
          <cx:pt idx="3561">0.5625</cx:pt>
          <cx:pt idx="3562">0.6875</cx:pt>
          <cx:pt idx="3563">0.5625</cx:pt>
          <cx:pt idx="3564">0.375</cx:pt>
          <cx:pt idx="3565">0.3125</cx:pt>
          <cx:pt idx="3566">0.375</cx:pt>
          <cx:pt idx="3567">0.4375</cx:pt>
          <cx:pt idx="3568">0.4375</cx:pt>
          <cx:pt idx="3569">0.3125</cx:pt>
          <cx:pt idx="3570">0.625</cx:pt>
          <cx:pt idx="3571">0.5</cx:pt>
          <cx:pt idx="3572">0.5625</cx:pt>
          <cx:pt idx="3573">0.75</cx:pt>
          <cx:pt idx="3574">0.25</cx:pt>
          <cx:pt idx="3575">0.3125</cx:pt>
          <cx:pt idx="3576">0.3125</cx:pt>
          <cx:pt idx="3577">0.4375</cx:pt>
          <cx:pt idx="3578">0.25</cx:pt>
          <cx:pt idx="3579">0.5</cx:pt>
          <cx:pt idx="3580">0.625</cx:pt>
          <cx:pt idx="3581">0.6875</cx:pt>
          <cx:pt idx="3582">0.75</cx:pt>
          <cx:pt idx="3583">0.4375</cx:pt>
          <cx:pt idx="3584">0.375</cx:pt>
          <cx:pt idx="3585">0.5</cx:pt>
          <cx:pt idx="3586">0.6875</cx:pt>
          <cx:pt idx="3587">0.75</cx:pt>
          <cx:pt idx="3588">0.5625</cx:pt>
          <cx:pt idx="3589">0.625</cx:pt>
          <cx:pt idx="3590">0.375</cx:pt>
          <cx:pt idx="3591">0.375</cx:pt>
          <cx:pt idx="3592">0.3125</cx:pt>
          <cx:pt idx="3593">0.3125</cx:pt>
          <cx:pt idx="3594">0.4375</cx:pt>
          <cx:pt idx="3595">0.5</cx:pt>
          <cx:pt idx="3596">0.5</cx:pt>
          <cx:pt idx="3597">0.6875</cx:pt>
          <cx:pt idx="3598">0.625</cx:pt>
          <cx:pt idx="3599">0.3125</cx:pt>
          <cx:pt idx="3600">0.625</cx:pt>
          <cx:pt idx="3601">0.5625</cx:pt>
          <cx:pt idx="3602">0.5</cx:pt>
          <cx:pt idx="3603">0.8125</cx:pt>
          <cx:pt idx="3604">0.4375</cx:pt>
          <cx:pt idx="3605">0.6875</cx:pt>
          <cx:pt idx="3606">0.375</cx:pt>
          <cx:pt idx="3607">0.5</cx:pt>
          <cx:pt idx="3608">0.625</cx:pt>
          <cx:pt idx="3609">0.5</cx:pt>
          <cx:pt idx="3610">0.625</cx:pt>
          <cx:pt idx="3611">0.625</cx:pt>
          <cx:pt idx="3612">0.375</cx:pt>
          <cx:pt idx="3613">0.375</cx:pt>
          <cx:pt idx="3614">0.4375</cx:pt>
          <cx:pt idx="3615">0.8125</cx:pt>
          <cx:pt idx="3616">0.6875</cx:pt>
          <cx:pt idx="3617">0.6875</cx:pt>
          <cx:pt idx="3618">0.6875</cx:pt>
          <cx:pt idx="3619">0.5</cx:pt>
          <cx:pt idx="3620">0.4375</cx:pt>
          <cx:pt idx="3621">0.5</cx:pt>
          <cx:pt idx="3622">0.75</cx:pt>
          <cx:pt idx="3623">0.375</cx:pt>
          <cx:pt idx="3624">0.4375</cx:pt>
          <cx:pt idx="3625">0.625</cx:pt>
          <cx:pt idx="3626">0.4375</cx:pt>
          <cx:pt idx="3627">0.5</cx:pt>
          <cx:pt idx="3628">0.375</cx:pt>
          <cx:pt idx="3629">0.4375</cx:pt>
          <cx:pt idx="3630">0.5</cx:pt>
          <cx:pt idx="3631">0.3125</cx:pt>
          <cx:pt idx="3632">0.25</cx:pt>
          <cx:pt idx="3633">0.3125</cx:pt>
          <cx:pt idx="3634">0.3125</cx:pt>
          <cx:pt idx="3635">0.375</cx:pt>
          <cx:pt idx="3636">0.5</cx:pt>
          <cx:pt idx="3637">0.5625</cx:pt>
          <cx:pt idx="3638">0.5</cx:pt>
          <cx:pt idx="3639">0.4375</cx:pt>
          <cx:pt idx="3640">0.9375</cx:pt>
          <cx:pt idx="3641">0.5</cx:pt>
          <cx:pt idx="3642">0.6875</cx:pt>
          <cx:pt idx="3643">0.5625</cx:pt>
          <cx:pt idx="3644">0.375</cx:pt>
          <cx:pt idx="3645">0.25</cx:pt>
          <cx:pt idx="3646">0.75</cx:pt>
          <cx:pt idx="3647">0.375</cx:pt>
          <cx:pt idx="3648">0.625</cx:pt>
          <cx:pt idx="3649">0.375</cx:pt>
          <cx:pt idx="3650">0.4375</cx:pt>
          <cx:pt idx="3651">0.375</cx:pt>
          <cx:pt idx="3652">0.5625</cx:pt>
          <cx:pt idx="3653">0.3125</cx:pt>
          <cx:pt idx="3654">0.3125</cx:pt>
          <cx:pt idx="3655">0.375</cx:pt>
          <cx:pt idx="3656">0.375</cx:pt>
          <cx:pt idx="3657">0.4375</cx:pt>
          <cx:pt idx="3658">0.625</cx:pt>
          <cx:pt idx="3659">0.75</cx:pt>
          <cx:pt idx="3660">0.5625</cx:pt>
          <cx:pt idx="3661">0.3125</cx:pt>
          <cx:pt idx="3662">0.6875</cx:pt>
          <cx:pt idx="3663">0.8125</cx:pt>
          <cx:pt idx="3664">0.1875</cx:pt>
          <cx:pt idx="3665">0.3125</cx:pt>
          <cx:pt idx="3666">0.5625</cx:pt>
          <cx:pt idx="3667">0.5</cx:pt>
          <cx:pt idx="3668">0.375</cx:pt>
          <cx:pt idx="3669">0.5625</cx:pt>
          <cx:pt idx="3670">0.4375</cx:pt>
          <cx:pt idx="3671">0.4375</cx:pt>
          <cx:pt idx="3672">0.375</cx:pt>
          <cx:pt idx="3673">0.375</cx:pt>
          <cx:pt idx="3674">0.25</cx:pt>
          <cx:pt idx="3675">0.5</cx:pt>
          <cx:pt idx="3676">0.3125</cx:pt>
          <cx:pt idx="3677">0.5</cx:pt>
          <cx:pt idx="3678">0.25</cx:pt>
          <cx:pt idx="3679">0.375</cx:pt>
          <cx:pt idx="3680">0.5625</cx:pt>
          <cx:pt idx="3681">0.1875</cx:pt>
          <cx:pt idx="3682">0.3125</cx:pt>
          <cx:pt idx="3683">0.5625</cx:pt>
          <cx:pt idx="3684">0.4375</cx:pt>
          <cx:pt idx="3685">0.1875</cx:pt>
          <cx:pt idx="3686">0.6875</cx:pt>
          <cx:pt idx="3687">0.8125</cx:pt>
          <cx:pt idx="3688">0.3125</cx:pt>
          <cx:pt idx="3689">0.5</cx:pt>
          <cx:pt idx="3690">0.6875</cx:pt>
          <cx:pt idx="3691">0.8125</cx:pt>
          <cx:pt idx="3692">0.625</cx:pt>
          <cx:pt idx="3693">0.375</cx:pt>
          <cx:pt idx="3694">0.6875</cx:pt>
          <cx:pt idx="3695">0.8125</cx:pt>
          <cx:pt idx="3696">0.6875</cx:pt>
          <cx:pt idx="3697">0.75</cx:pt>
          <cx:pt idx="3698">0.5625</cx:pt>
          <cx:pt idx="3699">0.75</cx:pt>
          <cx:pt idx="3700">0.25</cx:pt>
          <cx:pt idx="3701">0.375</cx:pt>
          <cx:pt idx="3702">0.4375</cx:pt>
          <cx:pt idx="3703">0.4375</cx:pt>
          <cx:pt idx="3704">0.6875</cx:pt>
          <cx:pt idx="3705">0.625</cx:pt>
          <cx:pt idx="3706">0.4375</cx:pt>
          <cx:pt idx="3707">0.75</cx:pt>
          <cx:pt idx="3708">0.8125</cx:pt>
          <cx:pt idx="3709">0.5</cx:pt>
          <cx:pt idx="3710">0.1875</cx:pt>
          <cx:pt idx="3711">0.75</cx:pt>
          <cx:pt idx="3712">0.6875</cx:pt>
          <cx:pt idx="3713">0.25</cx:pt>
          <cx:pt idx="3714">0.3125</cx:pt>
          <cx:pt idx="3715">0.5625</cx:pt>
          <cx:pt idx="3716">0.5625</cx:pt>
          <cx:pt idx="3717">0.1875</cx:pt>
          <cx:pt idx="3718">0.4375</cx:pt>
          <cx:pt idx="3719">0.4375</cx:pt>
          <cx:pt idx="3720">0.375</cx:pt>
          <cx:pt idx="3721">0.6875</cx:pt>
          <cx:pt idx="3722">0.4375</cx:pt>
          <cx:pt idx="3723">0.1875</cx:pt>
          <cx:pt idx="3724">0.375</cx:pt>
          <cx:pt idx="3725">0.6875</cx:pt>
          <cx:pt idx="3726">0.75</cx:pt>
          <cx:pt idx="3727">0.6875</cx:pt>
          <cx:pt idx="3728">0.375</cx:pt>
          <cx:pt idx="3729">0.4375</cx:pt>
          <cx:pt idx="3730">0.6875</cx:pt>
          <cx:pt idx="3731">0.5625</cx:pt>
          <cx:pt idx="3732">0.375</cx:pt>
          <cx:pt idx="3733">0.375</cx:pt>
          <cx:pt idx="3734">0.4375</cx:pt>
          <cx:pt idx="3735">0.375</cx:pt>
          <cx:pt idx="3736">0.6875</cx:pt>
          <cx:pt idx="3737">0.3125</cx:pt>
          <cx:pt idx="3738">0.5</cx:pt>
          <cx:pt idx="3739">0.375</cx:pt>
          <cx:pt idx="3740">0.375</cx:pt>
          <cx:pt idx="3741">0.75</cx:pt>
          <cx:pt idx="3742">0.6875</cx:pt>
          <cx:pt idx="3743">0.5625</cx:pt>
          <cx:pt idx="3744">0.5625</cx:pt>
          <cx:pt idx="3745">0.5625</cx:pt>
          <cx:pt idx="3746">0.6875</cx:pt>
          <cx:pt idx="3747">0.375</cx:pt>
          <cx:pt idx="3748">0.375</cx:pt>
          <cx:pt idx="3749">0.6875</cx:pt>
          <cx:pt idx="3750">0.375</cx:pt>
          <cx:pt idx="3751">0.4375</cx:pt>
          <cx:pt idx="3752">0.375</cx:pt>
          <cx:pt idx="3753">0.4375</cx:pt>
          <cx:pt idx="3754">0.375</cx:pt>
          <cx:pt idx="3755">0.1875</cx:pt>
          <cx:pt idx="3756">0.5</cx:pt>
          <cx:pt idx="3757">0.375</cx:pt>
          <cx:pt idx="3758">0.5625</cx:pt>
          <cx:pt idx="3759">0.75</cx:pt>
          <cx:pt idx="3760">0.4375</cx:pt>
          <cx:pt idx="3761">0.5625</cx:pt>
          <cx:pt idx="3762">0.375</cx:pt>
          <cx:pt idx="3763">0.4375</cx:pt>
          <cx:pt idx="3764">0.4375</cx:pt>
          <cx:pt idx="3765">0.4375</cx:pt>
          <cx:pt idx="3766">0.375</cx:pt>
          <cx:pt idx="3767">0.1875</cx:pt>
          <cx:pt idx="3768">0.4375</cx:pt>
          <cx:pt idx="3769">0.5</cx:pt>
          <cx:pt idx="3770">0.4375</cx:pt>
          <cx:pt idx="3771">0.5</cx:pt>
          <cx:pt idx="3772">0.5</cx:pt>
          <cx:pt idx="3773">0.5</cx:pt>
          <cx:pt idx="3774">0.1875</cx:pt>
          <cx:pt idx="3775">0.625</cx:pt>
          <cx:pt idx="3776">0.375</cx:pt>
          <cx:pt idx="3777">0.375</cx:pt>
          <cx:pt idx="3778">0.4375</cx:pt>
          <cx:pt idx="3779">0.375</cx:pt>
          <cx:pt idx="3780">0.8125</cx:pt>
          <cx:pt idx="3781">0.5625</cx:pt>
          <cx:pt idx="3782">0.5625</cx:pt>
          <cx:pt idx="3783">0.1875</cx:pt>
          <cx:pt idx="3784">0.3125</cx:pt>
          <cx:pt idx="3785">0.25</cx:pt>
          <cx:pt idx="3786">0.625</cx:pt>
          <cx:pt idx="3787">0.5625</cx:pt>
          <cx:pt idx="3788">0.4375</cx:pt>
          <cx:pt idx="3789">0.625</cx:pt>
          <cx:pt idx="3790">0.375</cx:pt>
          <cx:pt idx="3791">0.3125</cx:pt>
          <cx:pt idx="3792">0.4375</cx:pt>
          <cx:pt idx="3793">0.6875</cx:pt>
          <cx:pt idx="3794">0.375</cx:pt>
          <cx:pt idx="3795">0.1875</cx:pt>
          <cx:pt idx="3796">0.625</cx:pt>
          <cx:pt idx="3797">0.5</cx:pt>
          <cx:pt idx="3798">0.5</cx:pt>
          <cx:pt idx="3799">0.3125</cx:pt>
          <cx:pt idx="3800">0.375</cx:pt>
          <cx:pt idx="3801">0.625</cx:pt>
          <cx:pt idx="3802">0.75</cx:pt>
          <cx:pt idx="3803">0.6875</cx:pt>
          <cx:pt idx="3804">0.4375</cx:pt>
          <cx:pt idx="3805">0.25</cx:pt>
          <cx:pt idx="3806">0.5625</cx:pt>
          <cx:pt idx="3807">0.6875</cx:pt>
          <cx:pt idx="3808">0.4375</cx:pt>
          <cx:pt idx="3809">0.375</cx:pt>
          <cx:pt idx="3810">0.3125</cx:pt>
          <cx:pt idx="3811">0.375</cx:pt>
          <cx:pt idx="3812">0.5625</cx:pt>
          <cx:pt idx="3813">0.5625</cx:pt>
          <cx:pt idx="3814">0.5</cx:pt>
          <cx:pt idx="3815">0.5625</cx:pt>
          <cx:pt idx="3816">0.3125</cx:pt>
          <cx:pt idx="3817">0.5</cx:pt>
          <cx:pt idx="3818">0.25</cx:pt>
          <cx:pt idx="3819">0.3125</cx:pt>
          <cx:pt idx="3820">0.5</cx:pt>
          <cx:pt idx="3821">0.6875</cx:pt>
          <cx:pt idx="3822">0.375</cx:pt>
          <cx:pt idx="3823">0.4375</cx:pt>
          <cx:pt idx="3824">0.5625</cx:pt>
          <cx:pt idx="3825">0.5625</cx:pt>
          <cx:pt idx="3826">0.25</cx:pt>
          <cx:pt idx="3827">0.5625</cx:pt>
          <cx:pt idx="3828">0.5</cx:pt>
          <cx:pt idx="3829">0.375</cx:pt>
          <cx:pt idx="3830">0.6875</cx:pt>
          <cx:pt idx="3831">0.75</cx:pt>
          <cx:pt idx="3832">0.3125</cx:pt>
          <cx:pt idx="3833">0.5625</cx:pt>
          <cx:pt idx="3834">0.375</cx:pt>
          <cx:pt idx="3835">0.4375</cx:pt>
          <cx:pt idx="3836">0.5625</cx:pt>
          <cx:pt idx="3837">0.1875</cx:pt>
          <cx:pt idx="3838">0.4375</cx:pt>
          <cx:pt idx="3839">0.625</cx:pt>
          <cx:pt idx="3840">0.5</cx:pt>
          <cx:pt idx="3841">0.1875</cx:pt>
          <cx:pt idx="3842">0.5</cx:pt>
          <cx:pt idx="3843">0.5625</cx:pt>
          <cx:pt idx="3844">0.375</cx:pt>
          <cx:pt idx="3845">0.8125</cx:pt>
          <cx:pt idx="3846">0.375</cx:pt>
          <cx:pt idx="3847">0.5625</cx:pt>
          <cx:pt idx="3848">0.1875</cx:pt>
          <cx:pt idx="3849">0.375</cx:pt>
          <cx:pt idx="3850">0.5</cx:pt>
          <cx:pt idx="3851">0.25</cx:pt>
          <cx:pt idx="3852">0.6875</cx:pt>
          <cx:pt idx="3853">0.375</cx:pt>
          <cx:pt idx="3854">0.375</cx:pt>
          <cx:pt idx="3855">0.4375</cx:pt>
          <cx:pt idx="3856">0.5625</cx:pt>
          <cx:pt idx="3857">0.375</cx:pt>
          <cx:pt idx="3858">0.625</cx:pt>
          <cx:pt idx="3859">0.3125</cx:pt>
          <cx:pt idx="3860">0.6875</cx:pt>
          <cx:pt idx="3861">0.5</cx:pt>
          <cx:pt idx="3862">0.75</cx:pt>
          <cx:pt idx="3863">0.625</cx:pt>
          <cx:pt idx="3864">0.3125</cx:pt>
          <cx:pt idx="3865">0.4375</cx:pt>
          <cx:pt idx="3866">0.375</cx:pt>
          <cx:pt idx="3867">0.375</cx:pt>
          <cx:pt idx="3868">0.25</cx:pt>
          <cx:pt idx="3869">0.6875</cx:pt>
          <cx:pt idx="3870">0.3125</cx:pt>
          <cx:pt idx="3871">0.25</cx:pt>
          <cx:pt idx="3872">0.5625</cx:pt>
          <cx:pt idx="3873">0.25</cx:pt>
          <cx:pt idx="3874">0.1875</cx:pt>
          <cx:pt idx="3875">0.375</cx:pt>
          <cx:pt idx="3876">0.1875</cx:pt>
          <cx:pt idx="3877">0.5</cx:pt>
          <cx:pt idx="3878">0.8125</cx:pt>
          <cx:pt idx="3879">0.5</cx:pt>
          <cx:pt idx="3880">0.5625</cx:pt>
          <cx:pt idx="3881">0.1875</cx:pt>
          <cx:pt idx="3882">0.3125</cx:pt>
          <cx:pt idx="3883">0.625</cx:pt>
          <cx:pt idx="3884">0.625</cx:pt>
          <cx:pt idx="3885">0.6875</cx:pt>
          <cx:pt idx="3886">0.5</cx:pt>
          <cx:pt idx="3887">0.5625</cx:pt>
          <cx:pt idx="3888">0.4375</cx:pt>
          <cx:pt idx="3889">0.375</cx:pt>
          <cx:pt idx="3890">0.375</cx:pt>
          <cx:pt idx="3891">0.8125</cx:pt>
          <cx:pt idx="3892">0.5625</cx:pt>
          <cx:pt idx="3893">0.5625</cx:pt>
          <cx:pt idx="3894">0.5625</cx:pt>
          <cx:pt idx="3895">0.6875</cx:pt>
          <cx:pt idx="3896">0.75</cx:pt>
          <cx:pt idx="3897">0.6875</cx:pt>
          <cx:pt idx="3898">0.4375</cx:pt>
          <cx:pt idx="3899">0.4375</cx:pt>
          <cx:pt idx="3900">0.4375</cx:pt>
          <cx:pt idx="3901">0.4375</cx:pt>
          <cx:pt idx="3902">0.5</cx:pt>
          <cx:pt idx="3903">0.625</cx:pt>
          <cx:pt idx="3904">0.5625</cx:pt>
          <cx:pt idx="3905">0.375</cx:pt>
          <cx:pt idx="3906">0.5</cx:pt>
          <cx:pt idx="3907">0.5</cx:pt>
          <cx:pt idx="3908">0.5625</cx:pt>
          <cx:pt idx="3909">0.5</cx:pt>
          <cx:pt idx="3910">0.75</cx:pt>
          <cx:pt idx="3911">0.8125</cx:pt>
          <cx:pt idx="3912">0.75</cx:pt>
          <cx:pt idx="3913">0.75</cx:pt>
          <cx:pt idx="3914">0.6875</cx:pt>
          <cx:pt idx="3915">0.3125</cx:pt>
          <cx:pt idx="3916">0.8125</cx:pt>
          <cx:pt idx="3917">0.1875</cx:pt>
          <cx:pt idx="3918">0.1875</cx:pt>
          <cx:pt idx="3919">0.5625</cx:pt>
          <cx:pt idx="3920">0.3125</cx:pt>
          <cx:pt idx="3921">0.75</cx:pt>
          <cx:pt idx="3922">0.375</cx:pt>
          <cx:pt idx="3923">0.4375</cx:pt>
          <cx:pt idx="3924">0.75</cx:pt>
          <cx:pt idx="3925">0.75</cx:pt>
          <cx:pt idx="3926">0.3125</cx:pt>
          <cx:pt idx="3927">0.6875</cx:pt>
          <cx:pt idx="3928">0.8125</cx:pt>
          <cx:pt idx="3929">0.25</cx:pt>
          <cx:pt idx="3930">0.375</cx:pt>
          <cx:pt idx="3931">0.4375</cx:pt>
          <cx:pt idx="3932">0.5</cx:pt>
          <cx:pt idx="3933">0.375</cx:pt>
          <cx:pt idx="3934">0.25</cx:pt>
          <cx:pt idx="3935">0.375</cx:pt>
          <cx:pt idx="3936">0.625</cx:pt>
          <cx:pt idx="3937">0.375</cx:pt>
          <cx:pt idx="3938">0.5</cx:pt>
          <cx:pt idx="3939">0.5</cx:pt>
          <cx:pt idx="3940">0.6875</cx:pt>
          <cx:pt idx="3941">0.4375</cx:pt>
          <cx:pt idx="3942">0.625</cx:pt>
          <cx:pt idx="3943">0.5625</cx:pt>
          <cx:pt idx="3944">0.6875</cx:pt>
          <cx:pt idx="3945">0.6875</cx:pt>
          <cx:pt idx="3946">0.5625</cx:pt>
          <cx:pt idx="3947">0.4375</cx:pt>
          <cx:pt idx="3948">0.8125</cx:pt>
          <cx:pt idx="3949">0.1875</cx:pt>
          <cx:pt idx="3950">0.5625</cx:pt>
          <cx:pt idx="3951">0.8125</cx:pt>
          <cx:pt idx="3952">0.6875</cx:pt>
          <cx:pt idx="3953">0.6875</cx:pt>
          <cx:pt idx="3954">0.6875</cx:pt>
          <cx:pt idx="3955">0.625</cx:pt>
          <cx:pt idx="3956">0.6875</cx:pt>
          <cx:pt idx="3957">0.5625</cx:pt>
          <cx:pt idx="3958">0.1875</cx:pt>
          <cx:pt idx="3959">0.4375</cx:pt>
          <cx:pt idx="3960">0.4375</cx:pt>
          <cx:pt idx="3961">0.375</cx:pt>
          <cx:pt idx="3962">0.6875</cx:pt>
          <cx:pt idx="3963">0.5625</cx:pt>
          <cx:pt idx="3964">0.6875</cx:pt>
          <cx:pt idx="3965">0.375</cx:pt>
          <cx:pt idx="3966">0.625</cx:pt>
          <cx:pt idx="3967">0.3125</cx:pt>
          <cx:pt idx="3968">0.4375</cx:pt>
          <cx:pt idx="3969">0.5</cx:pt>
          <cx:pt idx="3970">0.5</cx:pt>
          <cx:pt idx="3971">0.625</cx:pt>
          <cx:pt idx="3972">0.375</cx:pt>
          <cx:pt idx="3973">0.375</cx:pt>
          <cx:pt idx="3974">0.5625</cx:pt>
          <cx:pt idx="3975">0.5625</cx:pt>
          <cx:pt idx="3976">0.625</cx:pt>
          <cx:pt idx="3977">0.875</cx:pt>
          <cx:pt idx="3978">0.375</cx:pt>
          <cx:pt idx="3979">0.6875</cx:pt>
          <cx:pt idx="3980">0.5</cx:pt>
          <cx:pt idx="3981">0.375</cx:pt>
          <cx:pt idx="3982">0.625</cx:pt>
          <cx:pt idx="3983">0.4375</cx:pt>
          <cx:pt idx="3984">0.5625</cx:pt>
          <cx:pt idx="3985">0.4375</cx:pt>
          <cx:pt idx="3986">0.5625</cx:pt>
          <cx:pt idx="3987">0.625</cx:pt>
          <cx:pt idx="3988">0.375</cx:pt>
          <cx:pt idx="3989">0.3125</cx:pt>
          <cx:pt idx="3990">0.75</cx:pt>
          <cx:pt idx="3991">0.375</cx:pt>
          <cx:pt idx="3992">0.3125</cx:pt>
          <cx:pt idx="3993">0.5</cx:pt>
          <cx:pt idx="3994">0.8125</cx:pt>
          <cx:pt idx="3995">0.5</cx:pt>
          <cx:pt idx="3996">0.375</cx:pt>
          <cx:pt idx="3997">0.375</cx:pt>
          <cx:pt idx="3998">0.625</cx:pt>
          <cx:pt idx="3999">0.5625</cx:pt>
          <cx:pt idx="4000">0.625</cx:pt>
          <cx:pt idx="4001">0.1875</cx:pt>
          <cx:pt idx="4002">0.4375</cx:pt>
          <cx:pt idx="4003">0.5</cx:pt>
          <cx:pt idx="4004">0.625</cx:pt>
          <cx:pt idx="4005">0.4375</cx:pt>
          <cx:pt idx="4006">0.4375</cx:pt>
          <cx:pt idx="4007">0.4375</cx:pt>
          <cx:pt idx="4008">0.5</cx:pt>
          <cx:pt idx="4009">0.375</cx:pt>
          <cx:pt idx="4010">0.5625</cx:pt>
          <cx:pt idx="4011">0.5</cx:pt>
          <cx:pt idx="4012">0.75</cx:pt>
          <cx:pt idx="4013">0.625</cx:pt>
          <cx:pt idx="4014">0.375</cx:pt>
          <cx:pt idx="4015">0.4375</cx:pt>
          <cx:pt idx="4016">0.5</cx:pt>
          <cx:pt idx="4017">0.375</cx:pt>
          <cx:pt idx="4018">0.5</cx:pt>
          <cx:pt idx="4019">0.375</cx:pt>
          <cx:pt idx="4020">0.625</cx:pt>
          <cx:pt idx="4021">0.1875</cx:pt>
          <cx:pt idx="4022">0.625</cx:pt>
          <cx:pt idx="4023">0.5</cx:pt>
          <cx:pt idx="4024">0.3125</cx:pt>
          <cx:pt idx="4025">0.5</cx:pt>
          <cx:pt idx="4026">0.1875</cx:pt>
          <cx:pt idx="4027">0.375</cx:pt>
          <cx:pt idx="4028">0.5625</cx:pt>
          <cx:pt idx="4029">0.625</cx:pt>
          <cx:pt idx="4030">0.375</cx:pt>
          <cx:pt idx="4031">0.25</cx:pt>
          <cx:pt idx="4032">0.5</cx:pt>
          <cx:pt idx="4033">0.625</cx:pt>
          <cx:pt idx="4034">0.5625</cx:pt>
          <cx:pt idx="4035">0.4375</cx:pt>
          <cx:pt idx="4036">0.8125</cx:pt>
          <cx:pt idx="4037">0.375</cx:pt>
          <cx:pt idx="4038">0.375</cx:pt>
          <cx:pt idx="4039">0.3125</cx:pt>
          <cx:pt idx="4040">0.5</cx:pt>
          <cx:pt idx="4041">0.9375</cx:pt>
          <cx:pt idx="4042">0.625</cx:pt>
          <cx:pt idx="4043">0.4375</cx:pt>
          <cx:pt idx="4044">0.5</cx:pt>
          <cx:pt idx="4045">0.5625</cx:pt>
          <cx:pt idx="4046">0.375</cx:pt>
          <cx:pt idx="4047">0.375</cx:pt>
          <cx:pt idx="4048">0.625</cx:pt>
          <cx:pt idx="4049">0.375</cx:pt>
          <cx:pt idx="4050">0.3125</cx:pt>
          <cx:pt idx="4051">0.625</cx:pt>
          <cx:pt idx="4052">0.4375</cx:pt>
          <cx:pt idx="4053">0.5</cx:pt>
          <cx:pt idx="4054">0.75</cx:pt>
          <cx:pt idx="4055">0.375</cx:pt>
          <cx:pt idx="4056">0.5625</cx:pt>
          <cx:pt idx="4057">0.625</cx:pt>
          <cx:pt idx="4058">0.375</cx:pt>
          <cx:pt idx="4059">0.6875</cx:pt>
          <cx:pt idx="4060">0.3125</cx:pt>
          <cx:pt idx="4061">0.6875</cx:pt>
          <cx:pt idx="4062">0.5</cx:pt>
          <cx:pt idx="4063">0.6875</cx:pt>
          <cx:pt idx="4064">0.5625</cx:pt>
          <cx:pt idx="4065">0.5</cx:pt>
          <cx:pt idx="4066">0.4375</cx:pt>
          <cx:pt idx="4067">0.375</cx:pt>
          <cx:pt idx="4068">0.5</cx:pt>
          <cx:pt idx="4069">0.375</cx:pt>
          <cx:pt idx="4070">0.625</cx:pt>
          <cx:pt idx="4071">0.25</cx:pt>
          <cx:pt idx="4072">0.5625</cx:pt>
          <cx:pt idx="4073">0.625</cx:pt>
          <cx:pt idx="4074">0.4375</cx:pt>
          <cx:pt idx="4075">0.375</cx:pt>
          <cx:pt idx="4076">0.5625</cx:pt>
          <cx:pt idx="4077">0.375</cx:pt>
          <cx:pt idx="4078">0.25</cx:pt>
          <cx:pt idx="4079">0.5625</cx:pt>
          <cx:pt idx="4080">0.375</cx:pt>
          <cx:pt idx="4081">0.25</cx:pt>
          <cx:pt idx="4082">0.5625</cx:pt>
          <cx:pt idx="4083">0.625</cx:pt>
          <cx:pt idx="4084">0.5</cx:pt>
          <cx:pt idx="4085">0.375</cx:pt>
          <cx:pt idx="4086">0.625</cx:pt>
          <cx:pt idx="4087">0.4375</cx:pt>
          <cx:pt idx="4088">0.4375</cx:pt>
          <cx:pt idx="4089">0.4375</cx:pt>
          <cx:pt idx="4090">0.4375</cx:pt>
          <cx:pt idx="4091">0.5625</cx:pt>
          <cx:pt idx="4092">0.75</cx:pt>
          <cx:pt idx="4093">0.3125</cx:pt>
          <cx:pt idx="4094">0.375</cx:pt>
          <cx:pt idx="4095">0.375</cx:pt>
          <cx:pt idx="4096">0.375</cx:pt>
          <cx:pt idx="4097">0.375</cx:pt>
          <cx:pt idx="4098">0.375</cx:pt>
          <cx:pt idx="4099">0.5</cx:pt>
          <cx:pt idx="4100">0.4375</cx:pt>
          <cx:pt idx="4101">0.5</cx:pt>
          <cx:pt idx="4102">0.375</cx:pt>
          <cx:pt idx="4103">0.4375</cx:pt>
          <cx:pt idx="4104">0.25</cx:pt>
          <cx:pt idx="4105">0.5</cx:pt>
          <cx:pt idx="4106">0.375</cx:pt>
          <cx:pt idx="4107">0.375</cx:pt>
          <cx:pt idx="4108">0.375</cx:pt>
          <cx:pt idx="4109">0.625</cx:pt>
          <cx:pt idx="4110">0.4375</cx:pt>
          <cx:pt idx="4111">0.375</cx:pt>
          <cx:pt idx="4112">0.5625</cx:pt>
          <cx:pt idx="4113">0.3125</cx:pt>
          <cx:pt idx="4114">0.375</cx:pt>
          <cx:pt idx="4115">0.375</cx:pt>
          <cx:pt idx="4116">0.8125</cx:pt>
          <cx:pt idx="4117">0.5625</cx:pt>
          <cx:pt idx="4118">0.5625</cx:pt>
          <cx:pt idx="4119">0.5</cx:pt>
          <cx:pt idx="4120">0.625</cx:pt>
          <cx:pt idx="4121">0.5625</cx:pt>
          <cx:pt idx="4122">0.5</cx:pt>
          <cx:pt idx="4123">0.75</cx:pt>
          <cx:pt idx="4124">0.8125</cx:pt>
          <cx:pt idx="4125">0.6875</cx:pt>
          <cx:pt idx="4126">0.375</cx:pt>
          <cx:pt idx="4127">0.375</cx:pt>
          <cx:pt idx="4128">0.4375</cx:pt>
          <cx:pt idx="4129">0.3125</cx:pt>
          <cx:pt idx="4130">0.4375</cx:pt>
          <cx:pt idx="4131">0.3125</cx:pt>
          <cx:pt idx="4132">0.3125</cx:pt>
          <cx:pt idx="4133">0.375</cx:pt>
          <cx:pt idx="4134">0.5625</cx:pt>
          <cx:pt idx="4135">0.375</cx:pt>
          <cx:pt idx="4136">0.75</cx:pt>
          <cx:pt idx="4137">0.375</cx:pt>
          <cx:pt idx="4138">0.625</cx:pt>
          <cx:pt idx="4139">0.6875</cx:pt>
          <cx:pt idx="4140">0.5625</cx:pt>
          <cx:pt idx="4141">0.375</cx:pt>
          <cx:pt idx="4142">0.1875</cx:pt>
          <cx:pt idx="4143">0.5</cx:pt>
          <cx:pt idx="4144">0.5</cx:pt>
          <cx:pt idx="4145">0.5</cx:pt>
          <cx:pt idx="4146">0.1875</cx:pt>
          <cx:pt idx="4147">0.375</cx:pt>
          <cx:pt idx="4148">0.625</cx:pt>
          <cx:pt idx="4149">0.4375</cx:pt>
          <cx:pt idx="4150">0.5625</cx:pt>
          <cx:pt idx="4151">0.625</cx:pt>
          <cx:pt idx="4152">0.5625</cx:pt>
          <cx:pt idx="4153">0.4375</cx:pt>
          <cx:pt idx="4154">0.5625</cx:pt>
          <cx:pt idx="4155">0.4375</cx:pt>
          <cx:pt idx="4156">0.4375</cx:pt>
          <cx:pt idx="4157">0.25</cx:pt>
          <cx:pt idx="4158">0.5</cx:pt>
          <cx:pt idx="4159">0.5625</cx:pt>
          <cx:pt idx="4160">0.4375</cx:pt>
          <cx:pt idx="4161">0.1875</cx:pt>
          <cx:pt idx="4162">0.3125</cx:pt>
          <cx:pt idx="4163">0.4375</cx:pt>
          <cx:pt idx="4164">0.3125</cx:pt>
          <cx:pt idx="4165">0.5625</cx:pt>
          <cx:pt idx="4166">0.5625</cx:pt>
          <cx:pt idx="4167">0.8125</cx:pt>
          <cx:pt idx="4168">0.75</cx:pt>
          <cx:pt idx="4169">0.25</cx:pt>
          <cx:pt idx="4170">0.6875</cx:pt>
          <cx:pt idx="4171">0.4375</cx:pt>
          <cx:pt idx="4172">0.25</cx:pt>
          <cx:pt idx="4173">0.1875</cx:pt>
          <cx:pt idx="4174">0.4375</cx:pt>
          <cx:pt idx="4175">0.5</cx:pt>
          <cx:pt idx="4176">0.5</cx:pt>
          <cx:pt idx="4177">0.375</cx:pt>
          <cx:pt idx="4178">0.625</cx:pt>
          <cx:pt idx="4179">0.5625</cx:pt>
          <cx:pt idx="4180">0.625</cx:pt>
          <cx:pt idx="4181">0.4375</cx:pt>
          <cx:pt idx="4182">0.375</cx:pt>
          <cx:pt idx="4183">0.5625</cx:pt>
          <cx:pt idx="4184">0.5625</cx:pt>
          <cx:pt idx="4185">0.375</cx:pt>
          <cx:pt idx="4186">0.6875</cx:pt>
          <cx:pt idx="4187">0.5</cx:pt>
          <cx:pt idx="4188">0.375</cx:pt>
          <cx:pt idx="4189">0.3125</cx:pt>
          <cx:pt idx="4190">0.375</cx:pt>
          <cx:pt idx="4191">0.375</cx:pt>
          <cx:pt idx="4192">0.4375</cx:pt>
          <cx:pt idx="4193">0.4375</cx:pt>
          <cx:pt idx="4194">0.4375</cx:pt>
          <cx:pt idx="4195">0.375</cx:pt>
          <cx:pt idx="4196">0.4375</cx:pt>
          <cx:pt idx="4197">0.4375</cx:pt>
          <cx:pt idx="4198">0.375</cx:pt>
          <cx:pt idx="4199">0.75</cx:pt>
          <cx:pt idx="4200">0.8125</cx:pt>
          <cx:pt idx="4201">0.625</cx:pt>
          <cx:pt idx="4202">0.375</cx:pt>
          <cx:pt idx="4203">0.75</cx:pt>
          <cx:pt idx="4204">0.375</cx:pt>
          <cx:pt idx="4205">0.5625</cx:pt>
          <cx:pt idx="4206">0.5625</cx:pt>
          <cx:pt idx="4207">0.375</cx:pt>
          <cx:pt idx="4208">0.5</cx:pt>
          <cx:pt idx="4209">0.375</cx:pt>
          <cx:pt idx="4210">0.375</cx:pt>
          <cx:pt idx="4211">0.4375</cx:pt>
          <cx:pt idx="4212">0.3125</cx:pt>
          <cx:pt idx="4213">0.625</cx:pt>
          <cx:pt idx="4214">0.25</cx:pt>
          <cx:pt idx="4215">0.3125</cx:pt>
          <cx:pt idx="4216">0.625</cx:pt>
          <cx:pt idx="4217">0.6875</cx:pt>
          <cx:pt idx="4218">0.25</cx:pt>
          <cx:pt idx="4219">0.375</cx:pt>
          <cx:pt idx="4220">0.375</cx:pt>
          <cx:pt idx="4221">0.875</cx:pt>
          <cx:pt idx="4222">0.625</cx:pt>
          <cx:pt idx="4223">0.625</cx:pt>
          <cx:pt idx="4224">0.5</cx:pt>
          <cx:pt idx="4225">0.5</cx:pt>
          <cx:pt idx="4226">0.5</cx:pt>
          <cx:pt idx="4227">0.5625</cx:pt>
          <cx:pt idx="4228">0.6875</cx:pt>
          <cx:pt idx="4229">0.375</cx:pt>
          <cx:pt idx="4230">0.5625</cx:pt>
          <cx:pt idx="4231">0.4375</cx:pt>
          <cx:pt idx="4232">0.4375</cx:pt>
          <cx:pt idx="4233">0.5</cx:pt>
          <cx:pt idx="4234">0.4375</cx:pt>
          <cx:pt idx="4235">0.5625</cx:pt>
          <cx:pt idx="4236">0.6875</cx:pt>
          <cx:pt idx="4237">0.625</cx:pt>
          <cx:pt idx="4238">0.6875</cx:pt>
          <cx:pt idx="4239">0.375</cx:pt>
          <cx:pt idx="4240">0.3125</cx:pt>
          <cx:pt idx="4241">0.5625</cx:pt>
          <cx:pt idx="4242">0.3125</cx:pt>
          <cx:pt idx="4243">0.75</cx:pt>
          <cx:pt idx="4244">0.375</cx:pt>
          <cx:pt idx="4245">0.4375</cx:pt>
          <cx:pt idx="4246">0.5625</cx:pt>
          <cx:pt idx="4247">0.375</cx:pt>
          <cx:pt idx="4248">0.375</cx:pt>
          <cx:pt idx="4249">0.375</cx:pt>
          <cx:pt idx="4250">0.5</cx:pt>
          <cx:pt idx="4251">0.4375</cx:pt>
          <cx:pt idx="4252">0.6875</cx:pt>
          <cx:pt idx="4253">0.5625</cx:pt>
          <cx:pt idx="4254">0.25</cx:pt>
          <cx:pt idx="4255">0.375</cx:pt>
          <cx:pt idx="4256">0.4375</cx:pt>
          <cx:pt idx="4257">0.375</cx:pt>
          <cx:pt idx="4258">0.4375</cx:pt>
          <cx:pt idx="4259">0.625</cx:pt>
          <cx:pt idx="4260">0.625</cx:pt>
          <cx:pt idx="4261">0.375</cx:pt>
          <cx:pt idx="4262">0.5625</cx:pt>
          <cx:pt idx="4263">0.75</cx:pt>
          <cx:pt idx="4264">0.5</cx:pt>
          <cx:pt idx="4265">0.25</cx:pt>
          <cx:pt idx="4266">0.4375</cx:pt>
          <cx:pt idx="4267">0.5</cx:pt>
          <cx:pt idx="4268">0.375</cx:pt>
          <cx:pt idx="4269">0.4375</cx:pt>
          <cx:pt idx="4270">0.5</cx:pt>
          <cx:pt idx="4271">0.375</cx:pt>
          <cx:pt idx="4272">0.4375</cx:pt>
          <cx:pt idx="4273">0.3125</cx:pt>
          <cx:pt idx="4274">0.3125</cx:pt>
          <cx:pt idx="4275">0.5</cx:pt>
          <cx:pt idx="4276">0.6875</cx:pt>
          <cx:pt idx="4277">0.375</cx:pt>
          <cx:pt idx="4278">0.25</cx:pt>
          <cx:pt idx="4279">0.375</cx:pt>
          <cx:pt idx="4280">0.4375</cx:pt>
          <cx:pt idx="4281">0.6875</cx:pt>
          <cx:pt idx="4282">0.6875</cx:pt>
          <cx:pt idx="4283">0.5</cx:pt>
          <cx:pt idx="4284">0.375</cx:pt>
          <cx:pt idx="4285">0.875</cx:pt>
          <cx:pt idx="4286">0.4375</cx:pt>
          <cx:pt idx="4287">0.5625</cx:pt>
          <cx:pt idx="4288">0.5625</cx:pt>
          <cx:pt idx="4289">0.8125</cx:pt>
          <cx:pt idx="4290">0.375</cx:pt>
          <cx:pt idx="4291">0.375</cx:pt>
          <cx:pt idx="4292">0.3125</cx:pt>
          <cx:pt idx="4293">0.75</cx:pt>
          <cx:pt idx="4294">0.4375</cx:pt>
          <cx:pt idx="4295">0.375</cx:pt>
          <cx:pt idx="4296">0.5625</cx:pt>
          <cx:pt idx="4297">0.3125</cx:pt>
          <cx:pt idx="4298">0.625</cx:pt>
          <cx:pt idx="4299">0.3125</cx:pt>
          <cx:pt idx="4300">0.375</cx:pt>
          <cx:pt idx="4301">0.4375</cx:pt>
          <cx:pt idx="4302">0.375</cx:pt>
          <cx:pt idx="4303">0.375</cx:pt>
          <cx:pt idx="4304">0.375</cx:pt>
          <cx:pt idx="4305">0.5</cx:pt>
          <cx:pt idx="4306">0.625</cx:pt>
          <cx:pt idx="4307">0.3125</cx:pt>
          <cx:pt idx="4308">0.3125</cx:pt>
          <cx:pt idx="4309">0.75</cx:pt>
          <cx:pt idx="4310">0.3125</cx:pt>
          <cx:pt idx="4311">0.625</cx:pt>
          <cx:pt idx="4312">0.375</cx:pt>
          <cx:pt idx="4313">0.3125</cx:pt>
          <cx:pt idx="4314">0.5</cx:pt>
          <cx:pt idx="4315">0.625</cx:pt>
          <cx:pt idx="4316">0.4375</cx:pt>
          <cx:pt idx="4317">0.5625</cx:pt>
          <cx:pt idx="4318">0.375</cx:pt>
          <cx:pt idx="4319">0.875</cx:pt>
          <cx:pt idx="4320">0.625</cx:pt>
          <cx:pt idx="4321">0.4375</cx:pt>
          <cx:pt idx="4322">0.625</cx:pt>
          <cx:pt idx="4323">0.5625</cx:pt>
          <cx:pt idx="4324">0.6875</cx:pt>
          <cx:pt idx="4325">0.4375</cx:pt>
          <cx:pt idx="4326">0.4375</cx:pt>
          <cx:pt idx="4327">0.625</cx:pt>
          <cx:pt idx="4328">0.4375</cx:pt>
          <cx:pt idx="4329">0.5625</cx:pt>
          <cx:pt idx="4330">0.4375</cx:pt>
          <cx:pt idx="4331">0.375</cx:pt>
          <cx:pt idx="4332">0.25</cx:pt>
          <cx:pt idx="4333">0.5625</cx:pt>
          <cx:pt idx="4334">0.6875</cx:pt>
          <cx:pt idx="4335">0.5</cx:pt>
          <cx:pt idx="4336">0.25</cx:pt>
          <cx:pt idx="4337">0.6875</cx:pt>
          <cx:pt idx="4338">0.375</cx:pt>
          <cx:pt idx="4339">0.1875</cx:pt>
          <cx:pt idx="4340">0.75</cx:pt>
          <cx:pt idx="4341">0.4375</cx:pt>
          <cx:pt idx="4342">0.6875</cx:pt>
          <cx:pt idx="4343">0.75</cx:pt>
          <cx:pt idx="4344">0.4375</cx:pt>
          <cx:pt idx="4345">0.375</cx:pt>
          <cx:pt idx="4346">0.4375</cx:pt>
          <cx:pt idx="4347">0.375</cx:pt>
          <cx:pt idx="4348">0.6875</cx:pt>
          <cx:pt idx="4349">0.4375</cx:pt>
          <cx:pt idx="4350">0.3125</cx:pt>
          <cx:pt idx="4351">0.75</cx:pt>
          <cx:pt idx="4352">0.5</cx:pt>
          <cx:pt idx="4353">0.625</cx:pt>
          <cx:pt idx="4354">0.375</cx:pt>
          <cx:pt idx="4355">0.875</cx:pt>
          <cx:pt idx="4356">0.5625</cx:pt>
          <cx:pt idx="4357">0.6875</cx:pt>
          <cx:pt idx="4358">0.3125</cx:pt>
          <cx:pt idx="4359">0.5</cx:pt>
          <cx:pt idx="4360">0.75</cx:pt>
          <cx:pt idx="4361">0.6875</cx:pt>
          <cx:pt idx="4362">0.375</cx:pt>
          <cx:pt idx="4363">0.5</cx:pt>
          <cx:pt idx="4364">0.75</cx:pt>
          <cx:pt idx="4365">0.5625</cx:pt>
          <cx:pt idx="4366">0.4375</cx:pt>
          <cx:pt idx="4367">0.1875</cx:pt>
          <cx:pt idx="4368">0.1875</cx:pt>
          <cx:pt idx="4369">0.625</cx:pt>
          <cx:pt idx="4370">0.375</cx:pt>
          <cx:pt idx="4371">0.5625</cx:pt>
          <cx:pt idx="4372">0.375</cx:pt>
          <cx:pt idx="4373">0.5625</cx:pt>
          <cx:pt idx="4374">0.625</cx:pt>
          <cx:pt idx="4375">0.5625</cx:pt>
          <cx:pt idx="4376">0.9375</cx:pt>
          <cx:pt idx="4377">0.4375</cx:pt>
          <cx:pt idx="4378">0.5625</cx:pt>
          <cx:pt idx="4379">0.6875</cx:pt>
          <cx:pt idx="4380">0.5</cx:pt>
          <cx:pt idx="4381">0.3125</cx:pt>
          <cx:pt idx="4382">0.625</cx:pt>
          <cx:pt idx="4383">0.5</cx:pt>
          <cx:pt idx="4384">0.625</cx:pt>
          <cx:pt idx="4385">0.4375</cx:pt>
          <cx:pt idx="4386">0.625</cx:pt>
          <cx:pt idx="4387">0.6875</cx:pt>
          <cx:pt idx="4388">0.3125</cx:pt>
          <cx:pt idx="4389">0.6875</cx:pt>
          <cx:pt idx="4390">0.5625</cx:pt>
          <cx:pt idx="4391">0.8125</cx:pt>
          <cx:pt idx="4392">0.5625</cx:pt>
          <cx:pt idx="4393">0.6875</cx:pt>
          <cx:pt idx="4394">0.5</cx:pt>
          <cx:pt idx="4395">0.6875</cx:pt>
          <cx:pt idx="4396">0.375</cx:pt>
          <cx:pt idx="4397">0.4375</cx:pt>
          <cx:pt idx="4398">0.4375</cx:pt>
          <cx:pt idx="4399">0.375</cx:pt>
          <cx:pt idx="4400">0.875</cx:pt>
          <cx:pt idx="4401">0.1875</cx:pt>
          <cx:pt idx="4402">0.625</cx:pt>
          <cx:pt idx="4403">0.4375</cx:pt>
          <cx:pt idx="4404">0.4375</cx:pt>
          <cx:pt idx="4405">0.25</cx:pt>
          <cx:pt idx="4406">0.625</cx:pt>
          <cx:pt idx="4407">0.625</cx:pt>
          <cx:pt idx="4408">0.3125</cx:pt>
          <cx:pt idx="4409">0.6875</cx:pt>
          <cx:pt idx="4410">0.375</cx:pt>
          <cx:pt idx="4411">0.5</cx:pt>
          <cx:pt idx="4412">0.375</cx:pt>
          <cx:pt idx="4413">0.375</cx:pt>
          <cx:pt idx="4414">0.5</cx:pt>
          <cx:pt idx="4415">0.3125</cx:pt>
          <cx:pt idx="4416">0.75</cx:pt>
          <cx:pt idx="4417">0.375</cx:pt>
          <cx:pt idx="4418">0.3125</cx:pt>
          <cx:pt idx="4419">0.8125</cx:pt>
          <cx:pt idx="4420">0.375</cx:pt>
          <cx:pt idx="4421">0.375</cx:pt>
          <cx:pt idx="4422">0.4375</cx:pt>
          <cx:pt idx="4423">0.25</cx:pt>
          <cx:pt idx="4424">0.5625</cx:pt>
          <cx:pt idx="4425">0.75</cx:pt>
          <cx:pt idx="4426">0.25</cx:pt>
          <cx:pt idx="4427">0.3125</cx:pt>
          <cx:pt idx="4428">0.375</cx:pt>
          <cx:pt idx="4429">0.3125</cx:pt>
          <cx:pt idx="4430">0.5625</cx:pt>
          <cx:pt idx="4431">0.5625</cx:pt>
          <cx:pt idx="4432">0.4375</cx:pt>
          <cx:pt idx="4433">0.625</cx:pt>
          <cx:pt idx="4434">0.375</cx:pt>
          <cx:pt idx="4435">0.375</cx:pt>
          <cx:pt idx="4436">0.375</cx:pt>
          <cx:pt idx="4437">0.5</cx:pt>
          <cx:pt idx="4438">0.4375</cx:pt>
          <cx:pt idx="4439">0.6875</cx:pt>
          <cx:pt idx="4440">0.5625</cx:pt>
          <cx:pt idx="4441">0.5</cx:pt>
          <cx:pt idx="4442">0.3125</cx:pt>
          <cx:pt idx="4443">0.8125</cx:pt>
          <cx:pt idx="4444">0.5</cx:pt>
          <cx:pt idx="4445">0.875</cx:pt>
          <cx:pt idx="4446">0.5</cx:pt>
          <cx:pt idx="4447">0.5</cx:pt>
          <cx:pt idx="4448">0.6875</cx:pt>
          <cx:pt idx="4449">0.3125</cx:pt>
          <cx:pt idx="4450">0.375</cx:pt>
          <cx:pt idx="4451">0.625</cx:pt>
          <cx:pt idx="4452">0.5625</cx:pt>
          <cx:pt idx="4453">0.1875</cx:pt>
          <cx:pt idx="4454">0.4375</cx:pt>
          <cx:pt idx="4455">0.4375</cx:pt>
          <cx:pt idx="4456">0.5</cx:pt>
          <cx:pt idx="4457">0.3125</cx:pt>
          <cx:pt idx="4458">0.6875</cx:pt>
          <cx:pt idx="4459">0.3125</cx:pt>
          <cx:pt idx="4460">0.25</cx:pt>
          <cx:pt idx="4461">0.75</cx:pt>
          <cx:pt idx="4462">0.375</cx:pt>
          <cx:pt idx="4463">0.625</cx:pt>
          <cx:pt idx="4464">0.75</cx:pt>
          <cx:pt idx="4465">1</cx:pt>
          <cx:pt idx="4466">0.625</cx:pt>
          <cx:pt idx="4467">0.6875</cx:pt>
          <cx:pt idx="4468">0.375</cx:pt>
          <cx:pt idx="4469">0.3125</cx:pt>
          <cx:pt idx="4470">0.5</cx:pt>
          <cx:pt idx="4471">0.875</cx:pt>
          <cx:pt idx="4472">0.5625</cx:pt>
          <cx:pt idx="4473">0.4375</cx:pt>
          <cx:pt idx="4474">0.25</cx:pt>
          <cx:pt idx="4475">0.75</cx:pt>
          <cx:pt idx="4476">0.3125</cx:pt>
          <cx:pt idx="4477">0.5625</cx:pt>
          <cx:pt idx="4478">0.375</cx:pt>
          <cx:pt idx="4479">0.4375</cx:pt>
          <cx:pt idx="4480">0.6875</cx:pt>
          <cx:pt idx="4481">0.375</cx:pt>
          <cx:pt idx="4482">0.6875</cx:pt>
          <cx:pt idx="4483">0.5</cx:pt>
          <cx:pt idx="4484">0.75</cx:pt>
          <cx:pt idx="4485">0.4375</cx:pt>
          <cx:pt idx="4486">0.5625</cx:pt>
          <cx:pt idx="4487">0.4375</cx:pt>
          <cx:pt idx="4488">0.375</cx:pt>
          <cx:pt idx="4489">0.5</cx:pt>
          <cx:pt idx="4490">0.4375</cx:pt>
          <cx:pt idx="4491">0.6875</cx:pt>
          <cx:pt idx="4492">0.5</cx:pt>
          <cx:pt idx="4493">0.5625</cx:pt>
          <cx:pt idx="4494">0.1875</cx:pt>
          <cx:pt idx="4495">0.1875</cx:pt>
          <cx:pt idx="4496">0.625</cx:pt>
          <cx:pt idx="4497">0.25</cx:pt>
          <cx:pt idx="4498">0.5</cx:pt>
          <cx:pt idx="4499">0.5</cx:pt>
          <cx:pt idx="4500">0.5625</cx:pt>
          <cx:pt idx="4501">0.1875</cx:pt>
          <cx:pt idx="4502">0.75</cx:pt>
          <cx:pt idx="4503">0.75</cx:pt>
          <cx:pt idx="4504">0.25</cx:pt>
          <cx:pt idx="4505">0.6875</cx:pt>
          <cx:pt idx="4506">0.4375</cx:pt>
          <cx:pt idx="4507">0.6875</cx:pt>
          <cx:pt idx="4508">0.375</cx:pt>
          <cx:pt idx="4509">0.375</cx:pt>
          <cx:pt idx="4510">0.6875</cx:pt>
          <cx:pt idx="4511">0.625</cx:pt>
          <cx:pt idx="4512">0.375</cx:pt>
          <cx:pt idx="4513">0.5</cx:pt>
          <cx:pt idx="4514">0.375</cx:pt>
          <cx:pt idx="4515">0.4375</cx:pt>
          <cx:pt idx="4516">0.5625</cx:pt>
          <cx:pt idx="4517">0.4375</cx:pt>
          <cx:pt idx="4518">0.4375</cx:pt>
          <cx:pt idx="4519">0.4375</cx:pt>
          <cx:pt idx="4520">0.5</cx:pt>
          <cx:pt idx="4521">0.4375</cx:pt>
          <cx:pt idx="4522">0.4375</cx:pt>
          <cx:pt idx="4523">0.25</cx:pt>
          <cx:pt idx="4524">0.5</cx:pt>
          <cx:pt idx="4525">0.375</cx:pt>
          <cx:pt idx="4526">0.5625</cx:pt>
          <cx:pt idx="4527">0.625</cx:pt>
          <cx:pt idx="4528">0.5</cx:pt>
          <cx:pt idx="4529">0.5625</cx:pt>
          <cx:pt idx="4530">0.3125</cx:pt>
          <cx:pt idx="4531">0.625</cx:pt>
          <cx:pt idx="4532">0.6875</cx:pt>
          <cx:pt idx="4533">0.6875</cx:pt>
          <cx:pt idx="4534">0.25</cx:pt>
          <cx:pt idx="4535">0.5</cx:pt>
          <cx:pt idx="4536">0.375</cx:pt>
          <cx:pt idx="4537">0.5625</cx:pt>
          <cx:pt idx="4538">0.25</cx:pt>
          <cx:pt idx="4539">0.3125</cx:pt>
          <cx:pt idx="4540">0.5625</cx:pt>
          <cx:pt idx="4541">0.375</cx:pt>
          <cx:pt idx="4542">0.3125</cx:pt>
          <cx:pt idx="4543">0.8125</cx:pt>
          <cx:pt idx="4544">0.5</cx:pt>
          <cx:pt idx="4545">0.375</cx:pt>
          <cx:pt idx="4546">0.5</cx:pt>
          <cx:pt idx="4547">0.5</cx:pt>
          <cx:pt idx="4548">0.6875</cx:pt>
          <cx:pt idx="4549">0.6875</cx:pt>
          <cx:pt idx="4550">0.5</cx:pt>
          <cx:pt idx="4551">0.5625</cx:pt>
          <cx:pt idx="4552">0.5625</cx:pt>
          <cx:pt idx="4553">0.5</cx:pt>
          <cx:pt idx="4554">0.5</cx:pt>
          <cx:pt idx="4555">0.375</cx:pt>
          <cx:pt idx="4556">0.375</cx:pt>
          <cx:pt idx="4557">0.5</cx:pt>
          <cx:pt idx="4558">0.375</cx:pt>
          <cx:pt idx="4559">0.375</cx:pt>
          <cx:pt idx="4560">0.375</cx:pt>
          <cx:pt idx="4561">0.4375</cx:pt>
          <cx:pt idx="4562">0.6875</cx:pt>
          <cx:pt idx="4563">0.3125</cx:pt>
          <cx:pt idx="4564">0.375</cx:pt>
          <cx:pt idx="4565">0.375</cx:pt>
          <cx:pt idx="4566">0.25</cx:pt>
          <cx:pt idx="4567">0.5</cx:pt>
          <cx:pt idx="4568">0.3125</cx:pt>
          <cx:pt idx="4569">0.25</cx:pt>
          <cx:pt idx="4570">0.4375</cx:pt>
          <cx:pt idx="4571">0.1875</cx:pt>
          <cx:pt idx="4572">0.5</cx:pt>
          <cx:pt idx="4573">0.25</cx:pt>
          <cx:pt idx="4574">0.875</cx:pt>
          <cx:pt idx="4575">0.4375</cx:pt>
          <cx:pt idx="4576">0.6875</cx:pt>
          <cx:pt idx="4577">0.3125</cx:pt>
          <cx:pt idx="4578">0.4375</cx:pt>
          <cx:pt idx="4579">0.5</cx:pt>
          <cx:pt idx="4580">0.75</cx:pt>
          <cx:pt idx="4581">0.625</cx:pt>
          <cx:pt idx="4582">0.4375</cx:pt>
          <cx:pt idx="4583">0.5</cx:pt>
          <cx:pt idx="4584">0.375</cx:pt>
          <cx:pt idx="4585">0.4375</cx:pt>
          <cx:pt idx="4586">0.5625</cx:pt>
          <cx:pt idx="4587">0.5</cx:pt>
          <cx:pt idx="4588">0.25</cx:pt>
          <cx:pt idx="4589">0.6875</cx:pt>
          <cx:pt idx="4590">0.4375</cx:pt>
          <cx:pt idx="4591">0.875</cx:pt>
          <cx:pt idx="4592">0.625</cx:pt>
          <cx:pt idx="4593">0.375</cx:pt>
          <cx:pt idx="4594">0.5625</cx:pt>
          <cx:pt idx="4595">0.6875</cx:pt>
          <cx:pt idx="4596">0.625</cx:pt>
          <cx:pt idx="4597">0.3125</cx:pt>
          <cx:pt idx="4598">0.375</cx:pt>
          <cx:pt idx="4599">0.75</cx:pt>
          <cx:pt idx="4600">0.375</cx:pt>
          <cx:pt idx="4601">0.4375</cx:pt>
          <cx:pt idx="4602">0.5</cx:pt>
          <cx:pt idx="4603">0.25</cx:pt>
          <cx:pt idx="4604">0.625</cx:pt>
          <cx:pt idx="4605">0.3125</cx:pt>
          <cx:pt idx="4606">0.1875</cx:pt>
          <cx:pt idx="4607">0.6875</cx:pt>
          <cx:pt idx="4608">0.75</cx:pt>
          <cx:pt idx="4609">0.625</cx:pt>
          <cx:pt idx="4610">0.4375</cx:pt>
          <cx:pt idx="4611">0.75</cx:pt>
          <cx:pt idx="4612">0.5625</cx:pt>
          <cx:pt idx="4613">0.5</cx:pt>
          <cx:pt idx="4614">0.5</cx:pt>
          <cx:pt idx="4615">0.625</cx:pt>
          <cx:pt idx="4616">0.625</cx:pt>
          <cx:pt idx="4617">0.375</cx:pt>
          <cx:pt idx="4618">0.75</cx:pt>
          <cx:pt idx="4619">0.25</cx:pt>
          <cx:pt idx="4620">0.375</cx:pt>
          <cx:pt idx="4621">0.4375</cx:pt>
          <cx:pt idx="4622">0.375</cx:pt>
          <cx:pt idx="4623">0.625</cx:pt>
          <cx:pt idx="4624">0.375</cx:pt>
          <cx:pt idx="4625">0.625</cx:pt>
          <cx:pt idx="4626">0.5</cx:pt>
          <cx:pt idx="4627">0.3125</cx:pt>
          <cx:pt idx="4628">0.5625</cx:pt>
          <cx:pt idx="4629">0.4375</cx:pt>
          <cx:pt idx="4630">0.625</cx:pt>
          <cx:pt idx="4631">0.6875</cx:pt>
          <cx:pt idx="4632">0.375</cx:pt>
          <cx:pt idx="4633">0.6875</cx:pt>
          <cx:pt idx="4634">0.625</cx:pt>
          <cx:pt idx="4635">0.4375</cx:pt>
          <cx:pt idx="4636">0.75</cx:pt>
          <cx:pt idx="4637">0.375</cx:pt>
          <cx:pt idx="4638">0.4375</cx:pt>
          <cx:pt idx="4639">0.25</cx:pt>
          <cx:pt idx="4640">0.5625</cx:pt>
          <cx:pt idx="4641">0.1875</cx:pt>
          <cx:pt idx="4642">0.5</cx:pt>
          <cx:pt idx="4643">0.625</cx:pt>
          <cx:pt idx="4644">0.625</cx:pt>
          <cx:pt idx="4645">0.375</cx:pt>
          <cx:pt idx="4646">0.4375</cx:pt>
          <cx:pt idx="4647">0.3125</cx:pt>
          <cx:pt idx="4648">0.3125</cx:pt>
          <cx:pt idx="4649">0.375</cx:pt>
          <cx:pt idx="4650">0.75</cx:pt>
          <cx:pt idx="4651">0.375</cx:pt>
          <cx:pt idx="4652">0.375</cx:pt>
          <cx:pt idx="4653">0.4375</cx:pt>
          <cx:pt idx="4654">0.5</cx:pt>
          <cx:pt idx="4655">0.6875</cx:pt>
          <cx:pt idx="4656">0.625</cx:pt>
          <cx:pt idx="4657">0.6875</cx:pt>
          <cx:pt idx="4658">0.6875</cx:pt>
          <cx:pt idx="4659">0.625</cx:pt>
          <cx:pt idx="4660">0.5</cx:pt>
          <cx:pt idx="4661">0.4375</cx:pt>
          <cx:pt idx="4662">0.625</cx:pt>
          <cx:pt idx="4663">0.5</cx:pt>
          <cx:pt idx="4664">0.5</cx:pt>
          <cx:pt idx="4665">0.375</cx:pt>
          <cx:pt idx="4666">0.5625</cx:pt>
          <cx:pt idx="4667">0.4375</cx:pt>
          <cx:pt idx="4668">0.625</cx:pt>
          <cx:pt idx="4669">0.5</cx:pt>
          <cx:pt idx="4670">0.4375</cx:pt>
          <cx:pt idx="4671">0.625</cx:pt>
          <cx:pt idx="4672">0.375</cx:pt>
          <cx:pt idx="4673">0.4375</cx:pt>
          <cx:pt idx="4674">0.5</cx:pt>
          <cx:pt idx="4675">0.5</cx:pt>
          <cx:pt idx="4676">0.5625</cx:pt>
          <cx:pt idx="4677">0.4375</cx:pt>
          <cx:pt idx="4678">0.4375</cx:pt>
          <cx:pt idx="4679">0.375</cx:pt>
          <cx:pt idx="4680">0.75</cx:pt>
          <cx:pt idx="4681">0.1875</cx:pt>
          <cx:pt idx="4682">0.4375</cx:pt>
          <cx:pt idx="4683">0.5625</cx:pt>
          <cx:pt idx="4684">0.5625</cx:pt>
          <cx:pt idx="4685">0.8125</cx:pt>
          <cx:pt idx="4686">0.3125</cx:pt>
          <cx:pt idx="4687">0.25</cx:pt>
          <cx:pt idx="4688">0.625</cx:pt>
          <cx:pt idx="4689">0.6875</cx:pt>
          <cx:pt idx="4690">0.5625</cx:pt>
          <cx:pt idx="4691">0.75</cx:pt>
          <cx:pt idx="4692">0.25</cx:pt>
          <cx:pt idx="4693">0.3125</cx:pt>
          <cx:pt idx="4694">0.5625</cx:pt>
          <cx:pt idx="4695">0.625</cx:pt>
          <cx:pt idx="4696">0.375</cx:pt>
          <cx:pt idx="4697">0.4375</cx:pt>
          <cx:pt idx="4698">0.3125</cx:pt>
          <cx:pt idx="4699">0.5</cx:pt>
          <cx:pt idx="4700">0.1875</cx:pt>
          <cx:pt idx="4701">0.75</cx:pt>
          <cx:pt idx="4702">0.375</cx:pt>
          <cx:pt idx="4703">0.3125</cx:pt>
          <cx:pt idx="4704">0.375</cx:pt>
          <cx:pt idx="4705">0.5</cx:pt>
          <cx:pt idx="4706">0.375</cx:pt>
          <cx:pt idx="4707">0.6875</cx:pt>
          <cx:pt idx="4708">0.375</cx:pt>
          <cx:pt idx="4709">0.375</cx:pt>
          <cx:pt idx="4710">0.5</cx:pt>
          <cx:pt idx="4711">0.5625</cx:pt>
          <cx:pt idx="4712">0.5625</cx:pt>
          <cx:pt idx="4713">0.5</cx:pt>
          <cx:pt idx="4714">0.3125</cx:pt>
          <cx:pt idx="4715">0.375</cx:pt>
          <cx:pt idx="4716">0.625</cx:pt>
          <cx:pt idx="4717">0.625</cx:pt>
          <cx:pt idx="4718">0.375</cx:pt>
          <cx:pt idx="4719">0.4375</cx:pt>
          <cx:pt idx="4720">0.5</cx:pt>
          <cx:pt idx="4721">0.5625</cx:pt>
          <cx:pt idx="4722">0.375</cx:pt>
          <cx:pt idx="4723">0.75</cx:pt>
          <cx:pt idx="4724">0.1875</cx:pt>
          <cx:pt idx="4725">0.4375</cx:pt>
          <cx:pt idx="4726">0.6875</cx:pt>
          <cx:pt idx="4727">0.8125</cx:pt>
          <cx:pt idx="4728">0.4375</cx:pt>
          <cx:pt idx="4729">0.5</cx:pt>
          <cx:pt idx="4730">0.3125</cx:pt>
          <cx:pt idx="4731">0.75</cx:pt>
          <cx:pt idx="4732">0.375</cx:pt>
          <cx:pt idx="4733">0.25</cx:pt>
          <cx:pt idx="4734">0.4375</cx:pt>
          <cx:pt idx="4735">0.4375</cx:pt>
          <cx:pt idx="4736">0.1875</cx:pt>
          <cx:pt idx="4737">0.375</cx:pt>
          <cx:pt idx="4738">0.4375</cx:pt>
          <cx:pt idx="4739">0.25</cx:pt>
          <cx:pt idx="4740">0.5625</cx:pt>
          <cx:pt idx="4741">0.5</cx:pt>
          <cx:pt idx="4742">0.625</cx:pt>
          <cx:pt idx="4743">0.6875</cx:pt>
          <cx:pt idx="4744">0.625</cx:pt>
          <cx:pt idx="4745">0.5625</cx:pt>
          <cx:pt idx="4746">0.625</cx:pt>
          <cx:pt idx="4747">0.3125</cx:pt>
          <cx:pt idx="4748">0.75</cx:pt>
          <cx:pt idx="4749">0.4375</cx:pt>
          <cx:pt idx="4750">0.4375</cx:pt>
          <cx:pt idx="4751">0.4375</cx:pt>
          <cx:pt idx="4752">0.375</cx:pt>
          <cx:pt idx="4753">0.5625</cx:pt>
          <cx:pt idx="4754">0.4375</cx:pt>
          <cx:pt idx="4755">0.4375</cx:pt>
          <cx:pt idx="4756">0.375</cx:pt>
          <cx:pt idx="4757">0.4375</cx:pt>
          <cx:pt idx="4758">0.3125</cx:pt>
          <cx:pt idx="4759">0.3125</cx:pt>
          <cx:pt idx="4760">0.5</cx:pt>
          <cx:pt idx="4761">0.625</cx:pt>
          <cx:pt idx="4762">0.25</cx:pt>
          <cx:pt idx="4763">0.375</cx:pt>
          <cx:pt idx="4764">0.625</cx:pt>
          <cx:pt idx="4765">0.5</cx:pt>
          <cx:pt idx="4766">0.4375</cx:pt>
          <cx:pt idx="4767">0.625</cx:pt>
          <cx:pt idx="4768">0.375</cx:pt>
          <cx:pt idx="4769">0.375</cx:pt>
          <cx:pt idx="4770">0.25</cx:pt>
          <cx:pt idx="4771">0.25</cx:pt>
          <cx:pt idx="4772">0.375</cx:pt>
          <cx:pt idx="4773">0.3125</cx:pt>
          <cx:pt idx="4774">0.3125</cx:pt>
          <cx:pt idx="4775">0.75</cx:pt>
          <cx:pt idx="4776">0.8125</cx:pt>
          <cx:pt idx="4777">0.5625</cx:pt>
          <cx:pt idx="4778">0.75</cx:pt>
          <cx:pt idx="4779">0.5</cx:pt>
          <cx:pt idx="4780">0.6875</cx:pt>
          <cx:pt idx="4781">0.3125</cx:pt>
          <cx:pt idx="4782">0.25</cx:pt>
          <cx:pt idx="4783">0.3125</cx:pt>
          <cx:pt idx="4784">0.1875</cx:pt>
          <cx:pt idx="4785">0.5625</cx:pt>
          <cx:pt idx="4786">0.25</cx:pt>
          <cx:pt idx="4787">0.625</cx:pt>
          <cx:pt idx="4788">0.75</cx:pt>
          <cx:pt idx="4789">0.375</cx:pt>
          <cx:pt idx="4790">0.5625</cx:pt>
          <cx:pt idx="4791">0.1875</cx:pt>
          <cx:pt idx="4792">0.8125</cx:pt>
          <cx:pt idx="4793">0.75</cx:pt>
          <cx:pt idx="4794">0.25</cx:pt>
          <cx:pt idx="4795">0.6875</cx:pt>
          <cx:pt idx="4796">0.3125</cx:pt>
          <cx:pt idx="4797">0.5625</cx:pt>
          <cx:pt idx="4798">0.375</cx:pt>
          <cx:pt idx="4799">0.3125</cx:pt>
          <cx:pt idx="4800">0.625</cx:pt>
          <cx:pt idx="4801">0.75</cx:pt>
          <cx:pt idx="4802">0.6875</cx:pt>
          <cx:pt idx="4803">0.3125</cx:pt>
          <cx:pt idx="4804">0.6875</cx:pt>
          <cx:pt idx="4805">0.4375</cx:pt>
          <cx:pt idx="4806">0.4375</cx:pt>
          <cx:pt idx="4807">0.8125</cx:pt>
          <cx:pt idx="4808">0.75</cx:pt>
          <cx:pt idx="4809">0.5625</cx:pt>
          <cx:pt idx="4810">0.5625</cx:pt>
          <cx:pt idx="4811">0.5</cx:pt>
          <cx:pt idx="4812">0.375</cx:pt>
          <cx:pt idx="4813">0.625</cx:pt>
          <cx:pt idx="4814">0.6875</cx:pt>
          <cx:pt idx="4815">0.1875</cx:pt>
          <cx:pt idx="4816">0.8125</cx:pt>
          <cx:pt idx="4817">0.5</cx:pt>
          <cx:pt idx="4818">0.4375</cx:pt>
          <cx:pt idx="4819">0.4375</cx:pt>
          <cx:pt idx="4820">0.4375</cx:pt>
          <cx:pt idx="4821">0.5</cx:pt>
          <cx:pt idx="4822">0.4375</cx:pt>
          <cx:pt idx="4823">0.5</cx:pt>
          <cx:pt idx="4824">0.6875</cx:pt>
          <cx:pt idx="4825">0.25</cx:pt>
          <cx:pt idx="4826">0.25</cx:pt>
          <cx:pt idx="4827">0.5</cx:pt>
          <cx:pt idx="4828">0.5</cx:pt>
          <cx:pt idx="4829">0.4375</cx:pt>
          <cx:pt idx="4830">0.5</cx:pt>
          <cx:pt idx="4831">0.6875</cx:pt>
          <cx:pt idx="4832">0.4375</cx:pt>
          <cx:pt idx="4833">0.5625</cx:pt>
          <cx:pt idx="4834">0.4375</cx:pt>
          <cx:pt idx="4835">0.625</cx:pt>
          <cx:pt idx="4836">0.5</cx:pt>
          <cx:pt idx="4837">0.375</cx:pt>
          <cx:pt idx="4838">0.3125</cx:pt>
          <cx:pt idx="4839">0.5625</cx:pt>
          <cx:pt idx="4840">0.875</cx:pt>
          <cx:pt idx="4841">0.375</cx:pt>
          <cx:pt idx="4842">0.3125</cx:pt>
          <cx:pt idx="4843">0.4375</cx:pt>
          <cx:pt idx="4844">0.8125</cx:pt>
          <cx:pt idx="4845">0.5</cx:pt>
          <cx:pt idx="4846">0.4375</cx:pt>
          <cx:pt idx="4847">0.4375</cx:pt>
          <cx:pt idx="4848">0.75</cx:pt>
          <cx:pt idx="4849">0.1875</cx:pt>
          <cx:pt idx="4850">0.5625</cx:pt>
          <cx:pt idx="4851">0.3125</cx:pt>
          <cx:pt idx="4852">0.3125</cx:pt>
          <cx:pt idx="4853">0.6875</cx:pt>
          <cx:pt idx="4854">0.375</cx:pt>
          <cx:pt idx="4855">0.3125</cx:pt>
          <cx:pt idx="4856">0.4375</cx:pt>
          <cx:pt idx="4857">0.8125</cx:pt>
          <cx:pt idx="4858">0.5625</cx:pt>
          <cx:pt idx="4859">0.8125</cx:pt>
          <cx:pt idx="4860">0.375</cx:pt>
          <cx:pt idx="4861">0.375</cx:pt>
          <cx:pt idx="4862">0.6875</cx:pt>
          <cx:pt idx="4863">0.5625</cx:pt>
          <cx:pt idx="4864">0.4375</cx:pt>
          <cx:pt idx="4865">0.625</cx:pt>
          <cx:pt idx="4866">0.6875</cx:pt>
          <cx:pt idx="4867">0.4375</cx:pt>
          <cx:pt idx="4868">0.4375</cx:pt>
          <cx:pt idx="4869">0.6875</cx:pt>
          <cx:pt idx="4870">0.75</cx:pt>
          <cx:pt idx="4871">0.1875</cx:pt>
          <cx:pt idx="4872">0.1875</cx:pt>
          <cx:pt idx="4873">0.5625</cx:pt>
          <cx:pt idx="4874">0.5</cx:pt>
          <cx:pt idx="4875">0.6875</cx:pt>
          <cx:pt idx="4876">0.1875</cx:pt>
          <cx:pt idx="4877">0.3125</cx:pt>
          <cx:pt idx="4878">0.3125</cx:pt>
          <cx:pt idx="4879">0.8125</cx:pt>
          <cx:pt idx="4880">0.375</cx:pt>
          <cx:pt idx="4881">0.375</cx:pt>
          <cx:pt idx="4882">0.5625</cx:pt>
          <cx:pt idx="4883">0.4375</cx:pt>
          <cx:pt idx="4884">0.4375</cx:pt>
          <cx:pt idx="4885">0.1875</cx:pt>
          <cx:pt idx="4886">0.5625</cx:pt>
          <cx:pt idx="4887">0.8125</cx:pt>
          <cx:pt idx="4888">0.3125</cx:pt>
          <cx:pt idx="4889">0.5625</cx:pt>
          <cx:pt idx="4890">0.5</cx:pt>
          <cx:pt idx="4891">0.625</cx:pt>
          <cx:pt idx="4892">0.4375</cx:pt>
          <cx:pt idx="4893">0.3125</cx:pt>
          <cx:pt idx="4894">0.4375</cx:pt>
          <cx:pt idx="4895">0.625</cx:pt>
          <cx:pt idx="4896">0.375</cx:pt>
          <cx:pt idx="4897">0.375</cx:pt>
          <cx:pt idx="4898">0.25</cx:pt>
          <cx:pt idx="4899">0.4375</cx:pt>
          <cx:pt idx="4900">0.6875</cx:pt>
          <cx:pt idx="4901">0.5</cx:pt>
          <cx:pt idx="4902">0.3125</cx:pt>
          <cx:pt idx="4903">0.5</cx:pt>
          <cx:pt idx="4904">0.3125</cx:pt>
          <cx:pt idx="4905">0.5</cx:pt>
          <cx:pt idx="4906">0.375</cx:pt>
          <cx:pt idx="4907">0.375</cx:pt>
          <cx:pt idx="4908">0.3125</cx:pt>
          <cx:pt idx="4909">0.4375</cx:pt>
          <cx:pt idx="4910">0.8125</cx:pt>
          <cx:pt idx="4911">0.3125</cx:pt>
          <cx:pt idx="4912">0.875</cx:pt>
          <cx:pt idx="4913">0.6875</cx:pt>
          <cx:pt idx="4914">0.375</cx:pt>
          <cx:pt idx="4915">0.75</cx:pt>
          <cx:pt idx="4916">0.1875</cx:pt>
          <cx:pt idx="4917">0.625</cx:pt>
          <cx:pt idx="4918">0.3125</cx:pt>
          <cx:pt idx="4919">0.625</cx:pt>
          <cx:pt idx="4920">0.5625</cx:pt>
          <cx:pt idx="4921">0.3125</cx:pt>
          <cx:pt idx="4922">0.8125</cx:pt>
          <cx:pt idx="4923">0.5</cx:pt>
          <cx:pt idx="4924">0.5</cx:pt>
          <cx:pt idx="4925">0.6875</cx:pt>
          <cx:pt idx="4926">0.3125</cx:pt>
          <cx:pt idx="4927">0.8125</cx:pt>
          <cx:pt idx="4928">0.6875</cx:pt>
          <cx:pt idx="4929">0.4375</cx:pt>
          <cx:pt idx="4930">0.6875</cx:pt>
          <cx:pt idx="4931">0.125</cx:pt>
          <cx:pt idx="4932">0.375</cx:pt>
          <cx:pt idx="4933">0.5</cx:pt>
          <cx:pt idx="4934">0.5</cx:pt>
          <cx:pt idx="4935">0.625</cx:pt>
          <cx:pt idx="4936">0.4375</cx:pt>
          <cx:pt idx="4937">0.4375</cx:pt>
          <cx:pt idx="4938">0.75</cx:pt>
          <cx:pt idx="4939">0.25</cx:pt>
          <cx:pt idx="4940">0.4375</cx:pt>
          <cx:pt idx="4941">0.5625</cx:pt>
          <cx:pt idx="4942">0.625</cx:pt>
          <cx:pt idx="4943">0.375</cx:pt>
          <cx:pt idx="4944">0.4375</cx:pt>
          <cx:pt idx="4945">0.5625</cx:pt>
          <cx:pt idx="4946">0.625</cx:pt>
          <cx:pt idx="4947">0.6875</cx:pt>
          <cx:pt idx="4948">0.375</cx:pt>
          <cx:pt idx="4949">0.5625</cx:pt>
          <cx:pt idx="4950">0.375</cx:pt>
          <cx:pt idx="4951">0.625</cx:pt>
          <cx:pt idx="4952">0.25</cx:pt>
          <cx:pt idx="4953">0.75</cx:pt>
          <cx:pt idx="4954">0.625</cx:pt>
          <cx:pt idx="4955">0.5625</cx:pt>
          <cx:pt idx="4956">0.5625</cx:pt>
          <cx:pt idx="4957">0.625</cx:pt>
          <cx:pt idx="4958">0.375</cx:pt>
          <cx:pt idx="4959">0.6875</cx:pt>
          <cx:pt idx="4960">0.1875</cx:pt>
          <cx:pt idx="4961">0.1875</cx:pt>
          <cx:pt idx="4962">0.375</cx:pt>
          <cx:pt idx="4963">0.375</cx:pt>
          <cx:pt idx="4964">0.6875</cx:pt>
          <cx:pt idx="4965">0.5</cx:pt>
          <cx:pt idx="4966">0.4375</cx:pt>
          <cx:pt idx="4967">0.25</cx:pt>
          <cx:pt idx="4968">0.5625</cx:pt>
          <cx:pt idx="4969">0.1875</cx:pt>
          <cx:pt idx="4970">0.1875</cx:pt>
          <cx:pt idx="4971">0.5625</cx:pt>
          <cx:pt idx="4972">0.6875</cx:pt>
          <cx:pt idx="4973">0.5</cx:pt>
          <cx:pt idx="4974">0.5625</cx:pt>
          <cx:pt idx="4975">0.4375</cx:pt>
          <cx:pt idx="4976">0.625</cx:pt>
          <cx:pt idx="4977">0.375</cx:pt>
          <cx:pt idx="4978">0.375</cx:pt>
          <cx:pt idx="4979">0.1875</cx:pt>
          <cx:pt idx="4980">0.3125</cx:pt>
          <cx:pt idx="4981">0.1875</cx:pt>
          <cx:pt idx="4982">0.6875</cx:pt>
          <cx:pt idx="4983">0.3125</cx:pt>
          <cx:pt idx="4984">0.375</cx:pt>
          <cx:pt idx="4985">0.25</cx:pt>
          <cx:pt idx="4986">0.5625</cx:pt>
          <cx:pt idx="4987">0.5</cx:pt>
          <cx:pt idx="4988">0.25</cx:pt>
          <cx:pt idx="4989">0.1875</cx:pt>
          <cx:pt idx="4990">0.3125</cx:pt>
          <cx:pt idx="4991">0.25</cx:pt>
          <cx:pt idx="4992">0.3125</cx:pt>
          <cx:pt idx="4993">0.3125</cx:pt>
          <cx:pt idx="4994">0.25</cx:pt>
          <cx:pt idx="4995">0.5</cx:pt>
          <cx:pt idx="4996">0.75</cx:pt>
        </cx:lvl>
      </cx:numDim>
    </cx:data>
  </cx:chartData>
  <cx:chart>
    <cx:title pos="t" align="ctr" overlay="0">
      <cx:tx>
        <cx:txData>
          <cx:v>Classifcation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Classifcation Distribution</a:t>
          </a:r>
        </a:p>
      </cx:txPr>
    </cx:title>
    <cx:plotArea>
      <cx:plotAreaRegion>
        <cx:series layoutId="clusteredColumn" uniqueId="{00000000-34FB-40ED-8D59-80144F395B13}">
          <cx:dataLabels pos="inEnd">
            <cx:visibility seriesName="0" categoryName="0" value="1"/>
          </cx:dataLabels>
          <cx:dataId val="0"/>
          <cx:layoutPr>
            <cx:binning intervalClosed="r"/>
          </cx:layoutPr>
        </cx:series>
      </cx:plotAreaRegion>
      <cx:axis id="0">
        <cx:catScaling gapWidth="0"/>
        <cx:tickLabels/>
      </cx:axis>
      <cx:axis id="1" hidden="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A385A-76A5-42C8-ABCE-DA9F796EB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Antolinez, Alfredo (GE Aviation, US)</dc:creator>
  <cp:keywords/>
  <dc:description/>
  <cp:lastModifiedBy>Waller, Omar (GE Aviation, US)</cp:lastModifiedBy>
  <cp:revision>7</cp:revision>
  <cp:lastPrinted>2018-04-11T03:44:00Z</cp:lastPrinted>
  <dcterms:created xsi:type="dcterms:W3CDTF">2018-04-11T03:36:00Z</dcterms:created>
  <dcterms:modified xsi:type="dcterms:W3CDTF">2018-04-11T16:52:00Z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 Classification">
    <vt:lpwstr/>
  </property>
</Properties>
</file>