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BASTION KERN</w:t>
        <w:br/>
        <w:t>Public preview information plan</w:t>
      </w:r>
    </w:p>
    <w:p>
      <w:pPr>
        <w:pStyle w:val="Subtitle"/>
      </w:pPr>
      <w:r>
        <w:t>A presentable experience with official evidence and clear rights</w:t>
      </w:r>
    </w:p>
    <w:p>
      <w:r>
        <w:t>Prepared in English for product review and professional sharing</w:t>
        <w:br/>
        <w:t>20 October 2026</w:t>
      </w:r>
    </w:p>
    <w:p>
      <w:pPr>
        <w:pStyle w:val="Heading2"/>
      </w:pPr>
      <w:r>
        <w:t>What is available</w:t>
      </w:r>
    </w:p>
    <w:p>
      <w:r>
        <w:t>The updated BASTION-KERN preview brings official geospatial evidence into a clean navy, black and gold experience. It includes a searchable evidence viewer, a Scythe context panel, a source directory, historical satellite imagery, language controls, optional sound and a legal entry notice. The footer identifies ALFREDO ZARATE as requested.</w:t>
      </w:r>
    </w:p>
    <w:p>
      <w:r>
        <w:t>Official records update through the running local service according to provider schedules and availability. Source dates stay visible. This is periodic source checking, not a live satellite connection or a public emergency-warning service. The current presentation is local to the computer running it.</w:t>
      </w:r>
    </w:p>
    <w:p>
      <w:pPr>
        <w:pStyle w:val="Heading2"/>
      </w:pPr>
      <w:r>
        <w:t>Presentation principles</w:t>
      </w:r>
    </w:p>
    <w:p>
      <w:r>
        <w:t>Use the original BASTION-KERN monogram and OFFENTLOGSPOT orbit concept as restrained identifiers. Use provider names as text with official links. Historical NASA imagery adds context with a clear date, an illustration label where applicable and visible credit. Avoid invented measurements, threat scores, partnerships or certifications.</w:t>
      </w:r>
    </w:p>
    <w:p>
      <w:r>
        <w:t>Private implementation material is excluded from the public presentation and the shared documents. A browser necessarily receives its visible interface assets; the preview does not promise that client assets or the underlying idea are invisible or legally protected merely by an access notice.</w:t>
      </w:r>
    </w:p>
    <w:p>
      <w:pPr>
        <w:pStyle w:val="Heading2"/>
      </w:pPr>
      <w:r>
        <w:t>Verification completed</w:t>
      </w:r>
    </w:p>
    <w:p>
      <w:r>
        <w:t>Thirty-seven local checks passed across the existing source validation and the added presentation access controls. Browser review covered English, Spanish, French and Portuguese, search, event and forecast filtering, pagination, empty states and test-tone feedback. Responsive layouts were checked at 320, 768, 1024 and 1440 pixels without horizontal overflow.</w:t>
      </w:r>
    </w:p>
    <w:p>
      <w:pPr>
        <w:pStyle w:val="Heading1"/>
        <w:pageBreakBefore/>
      </w:pPr>
      <w:r>
        <w:t>Information to publish in the preview</w:t>
      </w:r>
    </w:p>
    <w:p>
      <w:r>
        <w:t>Each section should help a visitor understand a source record or make an informed choice. The current preview implements the following information plan.</w:t>
      </w:r>
    </w:p>
    <w:tbl>
      <w:tblPr>
        <w:tblW w:type="auto" w:w="0"/>
        <w:tblLayout w:type="fixed"/>
        <w:tblLook w:firstColumn="1" w:firstRow="1" w:lastColumn="0" w:lastRow="0" w:noHBand="0" w:noVBand="1" w:val="04A0"/>
      </w:tblPr>
      <w:tblGrid>
        <w:gridCol w:w="5040"/>
        <w:gridCol w:w="5040"/>
      </w:tblGrid>
      <w:tr>
        <w:trPr>
          <w:tblHeader/>
        </w:trPr>
        <w:tc>
          <w:tcPr>
            <w:tcW w:type="dxa" w:w="2088"/>
            <w:shd w:fill="15223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color w:val="FFFFFF"/>
                <w:sz w:val="20"/>
              </w:rPr>
              <w:t>Section</w:t>
            </w:r>
          </w:p>
        </w:tc>
        <w:tc>
          <w:tcPr>
            <w:tcW w:type="dxa" w:w="7560"/>
            <w:shd w:fill="15223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color w:val="FFFFFF"/>
                <w:sz w:val="20"/>
              </w:rPr>
              <w:t>Information available to the visitor</w:t>
            </w:r>
          </w:p>
        </w:tc>
      </w:tr>
      <w:tr>
        <w:tc>
          <w:tcPr>
            <w:tcW w:type="dxa" w:w="2088"/>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Entry notice</w:t>
            </w:r>
          </w:p>
        </w:tc>
        <w:tc>
          <w:tcPr>
            <w:tcW w:type="dxa" w:w="7560"/>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Evaluation terms, ownership scope, information limits, privacy summary and affirmative acceptance.</w:t>
            </w:r>
          </w:p>
        </w:tc>
      </w:tr>
      <w:tr>
        <w:tc>
          <w:tcPr>
            <w:tcW w:type="dxa" w:w="2088"/>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Evidence viewer</w:t>
            </w:r>
          </w:p>
        </w:tc>
        <w:tc>
          <w:tcPr>
            <w:tcW w:type="dxa" w:w="7560"/>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Event or forecast label, title, geographic region, source, source dates and selected reported measurements.</w:t>
            </w:r>
          </w:p>
        </w:tc>
      </w:tr>
      <w:tr>
        <w:tc>
          <w:tcPr>
            <w:tcW w:type="dxa" w:w="2088"/>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Scythe context</w:t>
            </w:r>
          </w:p>
        </w:tc>
        <w:tc>
          <w:tcPr>
            <w:tcW w:type="dxa" w:w="7560"/>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A short explanation grounded in the selected record, clear limits and an official source link.</w:t>
            </w:r>
          </w:p>
        </w:tc>
      </w:tr>
      <w:tr>
        <w:tc>
          <w:tcPr>
            <w:tcW w:type="dxa" w:w="2088"/>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Sources</w:t>
            </w:r>
          </w:p>
        </w:tc>
        <w:tc>
          <w:tcPr>
            <w:tcW w:type="dxa" w:w="7560"/>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Provider name, purpose, data meaning, attribution, official service and official support links.</w:t>
            </w:r>
          </w:p>
        </w:tc>
      </w:tr>
      <w:tr>
        <w:tc>
          <w:tcPr>
            <w:tcW w:type="dxa" w:w="2088"/>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Satellite context</w:t>
            </w:r>
          </w:p>
        </w:tc>
        <w:tc>
          <w:tcPr>
            <w:tcW w:type="dxa" w:w="7560"/>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A historical Earth-at-night composite and an official Aqua artist’s concept, each visibly credited.</w:t>
            </w:r>
          </w:p>
        </w:tc>
      </w:tr>
      <w:tr>
        <w:tc>
          <w:tcPr>
            <w:tcW w:type="dxa" w:w="2088"/>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Official directory</w:t>
            </w:r>
          </w:p>
        </w:tc>
        <w:tc>
          <w:tcPr>
            <w:tcW w:type="dxa" w:w="7560"/>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Fourteen searchable agency or provider entries, category filters and a downloadable reference index.</w:t>
            </w:r>
          </w:p>
        </w:tc>
      </w:tr>
      <w:tr>
        <w:tc>
          <w:tcPr>
            <w:tcW w:type="dxa" w:w="2088"/>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Experience controls</w:t>
            </w:r>
          </w:p>
        </w:tc>
        <w:tc>
          <w:tcPr>
            <w:tcW w:type="dxa" w:w="7560"/>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Four interface languages, optional sound, a test-tone button, volume control and local session counters.</w:t>
            </w:r>
          </w:p>
        </w:tc>
      </w:tr>
      <w:tr>
        <w:tc>
          <w:tcPr>
            <w:tcW w:type="dxa" w:w="2088"/>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Legal and rights</w:t>
            </w:r>
          </w:p>
        </w:tc>
        <w:tc>
          <w:tcPr>
            <w:tcW w:type="dxa" w:w="7560"/>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Separate original ownership, provider rights, platform references, media credits and privacy notices.</w:t>
            </w:r>
          </w:p>
        </w:tc>
      </w:tr>
    </w:tbl>
    <w:p>
      <w:pPr>
        <w:pStyle w:val="Heading2"/>
      </w:pPr>
      <w:r>
        <w:t>Language policy</w:t>
      </w:r>
    </w:p>
    <w:p>
      <w:r>
        <w:t>English is the default interface. Spanish, French and Portuguese translate navigation, controls, labels and entry summaries. Source titles and descriptions retain their original English wording. The English legal text is the reference text; translated summaries are informative and are not presented as jurisdiction-specific legal translations.</w:t>
      </w:r>
    </w:p>
    <w:p>
      <w:pPr>
        <w:pStyle w:val="Heading2"/>
      </w:pPr>
      <w:r>
        <w:t>Accessible interaction</w:t>
      </w:r>
    </w:p>
    <w:p>
      <w:r>
        <w:t>Keep keyboard-operable controls, visible focus, readable contrast, text alongside visual status and equivalent visual feedback for sound. Honor reduced-motion preferences. A formal accessibility certification has not been performed.</w:t>
      </w:r>
    </w:p>
    <w:p>
      <w:pPr>
        <w:pStyle w:val="Heading1"/>
        <w:pageBreakBefore/>
      </w:pPr>
      <w:r>
        <w:t>Official sources and media credits</w:t>
      </w:r>
    </w:p>
    <w:p>
      <w:pPr>
        <w:pStyle w:val="Heading2"/>
      </w:pPr>
      <w:r>
        <w:t>USGS</w:t>
      </w:r>
    </w:p>
    <w:p>
      <w:r>
        <w:t>Reported seismic records with location, magnitude and source updates.</w:t>
      </w:r>
    </w:p>
    <w:p>
      <w:hyperlink r:id="rId11">
        <w:r>
          <w:rPr>
            <w:color w:val="152238"/>
          </w:rPr>
          <w:t>Official service</w:t>
        </w:r>
      </w:hyperlink>
      <w:r>
        <w:t xml:space="preserve">  |  </w:t>
      </w:r>
      <w:hyperlink r:id="rId12">
        <w:r>
          <w:rPr>
            <w:color w:val="152238"/>
          </w:rPr>
          <w:t>Official support</w:t>
        </w:r>
      </w:hyperlink>
    </w:p>
    <w:p>
      <w:pPr>
        <w:pStyle w:val="Heading2"/>
      </w:pPr>
      <w:r>
        <w:t>NASA EONET</w:t>
      </w:r>
    </w:p>
    <w:p>
      <w:r>
        <w:t>Curated natural-event references with potentially approximate locations and times.</w:t>
      </w:r>
    </w:p>
    <w:p>
      <w:hyperlink r:id="rId13">
        <w:r>
          <w:rPr>
            <w:color w:val="152238"/>
          </w:rPr>
          <w:t>Official service</w:t>
        </w:r>
      </w:hyperlink>
      <w:r>
        <w:t xml:space="preserve">  |  </w:t>
      </w:r>
      <w:hyperlink r:id="rId14">
        <w:r>
          <w:rPr>
            <w:color w:val="152238"/>
          </w:rPr>
          <w:t>Official support</w:t>
        </w:r>
      </w:hyperlink>
    </w:p>
    <w:p>
      <w:pPr>
        <w:pStyle w:val="Heading2"/>
      </w:pPr>
      <w:r>
        <w:t>GDACS</w:t>
      </w:r>
    </w:p>
    <w:p>
      <w:r>
        <w:t>Indicative disaster assessments and modelled impact estimates.</w:t>
      </w:r>
    </w:p>
    <w:p>
      <w:hyperlink r:id="rId15">
        <w:r>
          <w:rPr>
            <w:color w:val="152238"/>
          </w:rPr>
          <w:t>Official service</w:t>
        </w:r>
      </w:hyperlink>
      <w:r>
        <w:t xml:space="preserve">  |  </w:t>
      </w:r>
      <w:hyperlink r:id="rId16">
        <w:r>
          <w:rPr>
            <w:color w:val="152238"/>
          </w:rPr>
          <w:t>Official support</w:t>
        </w:r>
      </w:hyperlink>
    </w:p>
    <w:p>
      <w:pPr>
        <w:pStyle w:val="Heading2"/>
      </w:pPr>
      <w:r>
        <w:t>MET Norway</w:t>
      </w:r>
    </w:p>
    <w:p>
      <w:r>
        <w:t>Point forecasts from a weather model, with model issue and valid times.</w:t>
      </w:r>
    </w:p>
    <w:p>
      <w:hyperlink r:id="rId17">
        <w:r>
          <w:rPr>
            <w:color w:val="152238"/>
          </w:rPr>
          <w:t>Official service</w:t>
        </w:r>
      </w:hyperlink>
      <w:r>
        <w:t xml:space="preserve">  |  </w:t>
      </w:r>
      <w:hyperlink r:id="rId18">
        <w:r>
          <w:rPr>
            <w:color w:val="152238"/>
          </w:rPr>
          <w:t>Official support</w:t>
        </w:r>
      </w:hyperlink>
    </w:p>
    <w:p>
      <w:pPr>
        <w:pStyle w:val="Heading2"/>
      </w:pPr>
      <w:r>
        <w:t>Provider names and official logos</w:t>
      </w:r>
    </w:p>
    <w:p>
      <w:r>
        <w:t>USGS and NASA marks have specific permission rules; unrestricted commercial use of the GDACS and MET Norway logos was not established. The preview therefore identifies these providers through text nameplates and official links. It does not reproduce their official logos or imply affiliation. New permissions can be recorded before any future logo use.</w:t>
      </w:r>
    </w:p>
    <w:p>
      <w:pPr>
        <w:pStyle w:val="Heading2"/>
      </w:pPr>
      <w:r>
        <w:t>Satellite imagery</w:t>
      </w:r>
    </w:p>
    <w:p>
      <w:r>
        <w:t>Earth at Night — Black Marble 2016. Historical 2016 VIIRS observations, not current conditions.</w:t>
      </w:r>
    </w:p>
    <w:p>
      <w:r>
        <w:t>Credit: NASA Earth Observatory images by Joshua Stevens, using Suomi NPP VIIRS data from Miguel Román, NASA GSFC.</w:t>
      </w:r>
    </w:p>
    <w:p>
      <w:hyperlink r:id="rId19">
        <w:r>
          <w:rPr>
            <w:color w:val="152238"/>
          </w:rPr>
          <w:t>Official image context and source</w:t>
        </w:r>
      </w:hyperlink>
    </w:p>
    <w:p>
      <w:r>
        <w:t>Aqua Satellite Orbiting Earth. Official NASA artist’s concept from 2002, not a photograph or live orbital position.</w:t>
      </w:r>
    </w:p>
    <w:p>
      <w:r>
        <w:t>Credit: NASA — PIA18156, Aqua Satellite Orbiting Earth (Artist's Concept).</w:t>
      </w:r>
    </w:p>
    <w:p>
      <w:hyperlink r:id="rId20">
        <w:r>
          <w:rPr>
            <w:color w:val="152238"/>
          </w:rPr>
          <w:t>Official image context and source</w:t>
        </w:r>
      </w:hyperlink>
    </w:p>
    <w:p>
      <w:pPr>
        <w:pStyle w:val="Heading1"/>
        <w:pageBreakBefore/>
      </w:pPr>
      <w:r>
        <w:t>Rights and license distinctions</w:t>
      </w:r>
    </w:p>
    <w:p>
      <w:pPr>
        <w:pStyle w:val="Heading2"/>
      </w:pPr>
      <w:r>
        <w:t>Original identity and ownership</w:t>
      </w:r>
    </w:p>
    <w:p>
      <w:r>
        <w:t>© 2026 ALFREDO ZARATE. All rights reserved in original material to the extent protected by applicable law. BASTION-KERN™ and OFFENTLOGSPOT™ are trademark claims; no registration or patent status is asserted. The ownership statement is supplied by the creator. Official facts, public-domain material, agency marks and third-party components retain their own rights.</w:t>
      </w:r>
    </w:p>
    <w:p>
      <w:pPr>
        <w:pStyle w:val="Heading2"/>
      </w:pPr>
      <w:r>
        <w:t>Official data</w:t>
      </w:r>
    </w:p>
    <w:p>
      <w:r>
        <w:t>Credit USGS for agency-produced information and check third-party rights separately. Credit NASA EONET and preserve originating source links; event extents may be approximate. Preserve the applicable GDACS notices, which vary across channel and resource scope. MET Norway data uses CC BY 4.0 and NLOD 2.0 unless specified otherwise; the preview indicates that values were selected and reformatted.</w:t>
      </w:r>
    </w:p>
    <w:p>
      <w:pPr>
        <w:pStyle w:val="Heading2"/>
      </w:pPr>
      <w:r>
        <w:t>Apache Apple and browsers</w:t>
      </w:r>
    </w:p>
    <w:p>
      <w:r>
        <w:t>Apache License 2.0 is included as an official reference, checked through GitHub and the Apache Software Foundation. No Apache dependency is claimed for this interface, and the reference does not grant an Apache license over original BASTION-KERN material. Apple Developer agreements are relevant if Apple tools or distribution services are used; no Apple certification or App Store availability is asserted. Browser compatibility is separate from the browsers’ own vendor terms.</w:t>
      </w:r>
    </w:p>
    <w:p>
      <w:pPr>
        <w:pStyle w:val="Heading2"/>
      </w:pPr>
      <w:r>
        <w:t>Motion typography and geographic services</w:t>
      </w:r>
    </w:p>
    <w:p>
      <w:r>
        <w:t>GSAP 3.14.2 and ScrollTrigger retain their third-party notices under the GSAP Standard No Charge License. Cabinet Grotesk is self-hosted unmodified under the Fontshare ITF Free Font License 2.0; font binaries are excluded from general redistribution. The geographic display is a source-coordinate locator. An active Mapbox map, Mapbox entitlement or cloud subscription is not claimed.</w:t>
      </w:r>
    </w:p>
    <w:p>
      <w:pPr>
        <w:pStyle w:val="Heading2"/>
      </w:pPr>
      <w:r>
        <w:t>Review status</w:t>
      </w:r>
    </w:p>
    <w:p>
      <w:r>
        <w:t>The evaluation notices are dated 20 October 2026. They do not invent a governing jurisdiction, corporate registration or attorney approval. Applicable mandatory rights remain unaffected. The operator’s countries, business model, consumer obligations and privacy requirements need review before a public commercial release.</w:t>
      </w:r>
    </w:p>
    <w:p>
      <w:pPr>
        <w:pStyle w:val="Heading1"/>
        <w:pageBreakBefore/>
      </w:pPr>
      <w:r>
        <w:t>Interactive evidence and signals</w:t>
      </w:r>
    </w:p>
    <w:p>
      <w:pPr>
        <w:pStyle w:val="Heading2"/>
      </w:pPr>
      <w:r>
        <w:t>Evidence that remains attributable</w:t>
      </w:r>
    </w:p>
    <w:p>
      <w:r>
        <w:t>The initial four-source validation retained 589 event records and 90 forecast periods. Later real checks received additional source records. Counts can grow as records are retained; they are not counts of unique disasters. Source and capture timestamps identify the evidence being displayed.</w:t>
      </w:r>
    </w:p>
    <w:p>
      <w:r>
        <w:t>A real USGS correction near Moreno Valley changed magnitude from 1.01 ml to 1.02 ml, depth from 13.21 km to 13.93 km and status from automatic to reviewed on 20 October 2026. This is a documented change in source information, not a synthetic disaster scenario.</w:t>
      </w:r>
    </w:p>
    <w:p>
      <w:pPr>
        <w:pStyle w:val="Heading2"/>
      </w:pPr>
      <w:r>
        <w:t>Sound and local session activity</w:t>
      </w:r>
    </w:p>
    <w:p>
      <w:r>
        <w:t>Sound is off until the visitor chooses it. A two-tone demonstration is available with volume control. When enabled, an audible cue can accompany newly available evidence after a view refresh. It is not an official warning siren, forecast threshold or emergency dispatch signal. Visual notices remain available when sound is disabled or unavailable.</w:t>
      </w:r>
    </w:p>
    <w:p>
      <w:r>
        <w:t>Elapsed time, inspected-record counts and view refresh counts update in the browser. They are local session activity, not satellite telemetry. No external analytics, session recordings, microphone or precise device-location collection is active in this preview.</w:t>
      </w:r>
    </w:p>
    <w:p>
      <w:pPr>
        <w:pStyle w:val="Heading2"/>
      </w:pPr>
      <w:r>
        <w:t>What remains limited</w:t>
      </w:r>
    </w:p>
    <w:p>
      <w:r>
        <w:t>The source catalogue is partial, geographic points may be approximate, and forecasts remain model output. Historical or expired forecast valid times are labelled. The directory gives official routes to information; it cannot request rescue, guarantee eligibility or dispatch assistance. The current test pass does not establish production availability or scientific accuracy.</w:t>
      </w:r>
    </w:p>
    <w:p>
      <w:hyperlink r:id="rId21">
        <w:r>
          <w:rPr>
            <w:color w:val="152238"/>
          </w:rPr>
          <w:t>CC BY 4.0</w:t>
        </w:r>
      </w:hyperlink>
      <w:r>
        <w:t xml:space="preserve">  |  </w:t>
      </w:r>
      <w:hyperlink r:id="rId22">
        <w:r>
          <w:rPr>
            <w:color w:val="152238"/>
          </w:rPr>
          <w:t>Apple agreements</w:t>
        </w:r>
      </w:hyperlink>
      <w:r>
        <w:t xml:space="preserve">  |  </w:t>
      </w:r>
      <w:hyperlink r:id="rId23">
        <w:r>
          <w:rPr>
            <w:color w:val="152238"/>
          </w:rPr>
          <w:t>Apache license</w:t>
        </w:r>
      </w:hyperlink>
    </w:p>
    <w:p>
      <w:pPr>
        <w:pStyle w:val="Heading1"/>
        <w:pageBreakBefore/>
      </w:pPr>
      <w:r>
        <w:t>Plan for the next release</w:t>
      </w:r>
    </w:p>
    <w:p>
      <w:r>
        <w:t>The following items organize further product information without publishing proprietary implementation detail. They are proposed work, not promised membership benefits.</w:t>
      </w:r>
    </w:p>
    <w:tbl>
      <w:tblPr>
        <w:tblW w:type="auto" w:w="0"/>
        <w:tblLayout w:type="fixed"/>
        <w:tblLook w:firstColumn="1" w:firstRow="1" w:lastColumn="0" w:lastRow="0" w:noHBand="0" w:noVBand="1" w:val="04A0"/>
      </w:tblPr>
      <w:tblGrid>
        <w:gridCol w:w="3360"/>
        <w:gridCol w:w="3360"/>
        <w:gridCol w:w="3360"/>
      </w:tblGrid>
      <w:tr>
        <w:trPr>
          <w:tblHeader/>
        </w:trPr>
        <w:tc>
          <w:tcPr>
            <w:tcW w:type="dxa" w:w="1440"/>
            <w:shd w:fill="15223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color w:val="FFFFFF"/>
                <w:sz w:val="20"/>
              </w:rPr>
              <w:t>Priority</w:t>
            </w:r>
          </w:p>
        </w:tc>
        <w:tc>
          <w:tcPr>
            <w:tcW w:type="dxa" w:w="4968"/>
            <w:shd w:fill="15223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color w:val="FFFFFF"/>
                <w:sz w:val="20"/>
              </w:rPr>
              <w:t>Information and experience work</w:t>
            </w:r>
          </w:p>
        </w:tc>
        <w:tc>
          <w:tcPr>
            <w:tcW w:type="dxa" w:w="3240"/>
            <w:shd w:fill="152238"/>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color w:val="FFFFFF"/>
                <w:sz w:val="20"/>
              </w:rPr>
              <w:t>Completion evidence</w:t>
            </w:r>
          </w:p>
        </w:tc>
      </w:tr>
      <w:tr>
        <w:tc>
          <w:tcPr>
            <w:tcW w:type="dxa" w:w="1440"/>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First</w:t>
            </w:r>
          </w:p>
        </w:tc>
        <w:tc>
          <w:tcPr>
            <w:tcW w:type="dxa" w:w="4968"/>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Review ownership, terms, operating identity, media credits and provider permissions for intended markets.</w:t>
            </w:r>
          </w:p>
        </w:tc>
        <w:tc>
          <w:tcPr>
            <w:tcW w:type="dxa" w:w="3240"/>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Approved notices, rights register and review date.</w:t>
            </w:r>
          </w:p>
        </w:tc>
      </w:tr>
      <w:tr>
        <w:tc>
          <w:tcPr>
            <w:tcW w:type="dxa" w:w="1440"/>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Next</w:t>
            </w:r>
          </w:p>
        </w:tc>
        <w:tc>
          <w:tcPr>
            <w:tcW w:type="dxa" w:w="4968"/>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Refine saved regions, evidence dates, stale-information messages and source-correction summaries.</w:t>
            </w:r>
          </w:p>
        </w:tc>
        <w:tc>
          <w:tcPr>
            <w:tcW w:type="dxa" w:w="3240"/>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Usability review and source-quality examples.</w:t>
            </w:r>
          </w:p>
        </w:tc>
      </w:tr>
      <w:tr>
        <w:tc>
          <w:tcPr>
            <w:tcW w:type="dxa" w:w="1440"/>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Guardian</w:t>
            </w:r>
          </w:p>
        </w:tc>
        <w:tc>
          <w:tcPr>
            <w:tcW w:type="dxa" w:w="4968"/>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Prepare personal evidence digests, separate local forecasts and clear notification preferences.</w:t>
            </w:r>
          </w:p>
        </w:tc>
        <w:tc>
          <w:tcPr>
            <w:tcW w:type="dxa" w:w="3240"/>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Verified digest examples, accessible controls and opt-in tests.</w:t>
            </w:r>
          </w:p>
        </w:tc>
      </w:tr>
      <w:tr>
        <w:tc>
          <w:tcPr>
            <w:tcW w:type="dxa" w:w="1440"/>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Overwatch</w:t>
            </w:r>
          </w:p>
        </w:tc>
        <w:tc>
          <w:tcPr>
            <w:tcW w:type="dxa" w:w="4968"/>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Prepare multi-area review, team-oriented evidence summaries and export rules.</w:t>
            </w:r>
          </w:p>
        </w:tc>
        <w:tc>
          <w:tcPr>
            <w:tcW w:type="dxa" w:w="3240"/>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Permission review, provenance examples and quality checks.</w:t>
            </w:r>
          </w:p>
        </w:tc>
      </w:tr>
      <w:tr>
        <w:tc>
          <w:tcPr>
            <w:tcW w:type="dxa" w:w="1440"/>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Before public launch</w:t>
            </w:r>
          </w:p>
        </w:tc>
        <w:tc>
          <w:tcPr>
            <w:tcW w:type="dxa" w:w="4968"/>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Review the native iOS experience, language quality, support process, reliability claims and ongoing costs.</w:t>
            </w:r>
          </w:p>
        </w:tc>
        <w:tc>
          <w:tcPr>
            <w:tcW w:type="dxa" w:w="3240"/>
            <w:shd w:fill="F0F3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60" w:before="60"/>
            </w:pPr>
            <w:r>
              <w:rPr>
                <w:b w:val="0"/>
                <w:color w:val="192431"/>
                <w:sz w:val="20"/>
              </w:rPr>
              <w:t>Device testing, translated text review and an approved operating plan.</w:t>
            </w:r>
          </w:p>
        </w:tc>
      </w:tr>
    </w:tbl>
    <w:p>
      <w:pPr>
        <w:pStyle w:val="Heading2"/>
      </w:pPr>
      <w:r>
        <w:t>Integration status</w:t>
      </w:r>
    </w:p>
    <w:p>
      <w:r>
        <w:t>The current research preview does not activate external accounts, commercial platform licenses, analytics or third-party account integrations. Future integrations require an explicit implementation and review of permissions, data handling and operating costs.</w:t>
      </w:r>
    </w:p>
    <w:p>
      <w:pPr>
        <w:pStyle w:val="Heading2"/>
      </w:pPr>
      <w:r>
        <w:t>Public sharing set</w:t>
      </w:r>
    </w:p>
    <w:p>
      <w:r>
        <w:t>Share this information plan, the companion presentation, the official resource directory and the public legal notices. The earlier implementation archive and technical architecture documents are retained privately and are not part of this sharing set. The prototype link opens the local entry terms. Terms acceptance is left to the visitor.</w:t>
      </w:r>
    </w:p>
    <w:p>
      <w:r>
        <w:t>BASTION-KERN and OFFENTLOGSPOT remain independent of all data providers and international agencies listed. Original brand concepts require trademark-clearance review before commercial adoption. Hosting and operations may incur costs.</w:t>
      </w:r>
    </w:p>
    <w:sectPr w:rsidR="00FC693F" w:rsidRPr="0006063C" w:rsidSect="00034616">
      <w:headerReference w:type="default" r:id="rId9"/>
      <w:footerReference w:type="default" r:id="rId10"/>
      <w:pgSz w:w="12240" w:h="15840"/>
      <w:pgMar w:top="1008"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Pr>
    <w:r>
      <w:rPr>
        <w:rFonts w:ascii="Calibri" w:hAnsi="Calibri"/>
        <w:color w:val="152238"/>
        <w:sz w:val="16"/>
      </w:rPr>
      <w:t>ALFREDO ZARATE - Founder and Owner</w:t>
      <w:br/>
      <w:t>Original creator from BASTION-KERN &amp; OFFENTLOGSPOT (TM).</w:t>
    </w:r>
  </w:p>
  <w:p>
    <w:r>
      <w:rPr>
        <w:sz w:val="14"/>
      </w:rPr>
      <w:t xml:space="preserve">© 2026 ALFREDO ZARATE. Original material rights reserved.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BASTION-KERN™     /     PUBLIC 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924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69" w:lineRule="auto"/>
    </w:pPr>
    <w:rPr>
      <w:rFonts w:ascii="Calibri" w:hAnsi="Calibri"/>
      <w:color w:val="192431"/>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arthquake.usgs.gov/earthquakes/" TargetMode="External"/><Relationship Id="rId12" Type="http://schemas.openxmlformats.org/officeDocument/2006/relationships/hyperlink" Target="https://answers.usgs.gov/" TargetMode="External"/><Relationship Id="rId13" Type="http://schemas.openxmlformats.org/officeDocument/2006/relationships/hyperlink" Target="https://eonet.gsfc.nasa.gov/" TargetMode="External"/><Relationship Id="rId14" Type="http://schemas.openxmlformats.org/officeDocument/2006/relationships/hyperlink" Target="https://eonet.gsfc.nasa.gov/contact" TargetMode="External"/><Relationship Id="rId15" Type="http://schemas.openxmlformats.org/officeDocument/2006/relationships/hyperlink" Target="https://www.gdacs.org/" TargetMode="External"/><Relationship Id="rId16" Type="http://schemas.openxmlformats.org/officeDocument/2006/relationships/hyperlink" Target="https://www.gdacs.org/About/contactus.aspx" TargetMode="External"/><Relationship Id="rId17" Type="http://schemas.openxmlformats.org/officeDocument/2006/relationships/hyperlink" Target="https://www.met.no/en" TargetMode="External"/><Relationship Id="rId18" Type="http://schemas.openxmlformats.org/officeDocument/2006/relationships/hyperlink" Target="https://www.met.no/en/contact-us" TargetMode="External"/><Relationship Id="rId19" Type="http://schemas.openxmlformats.org/officeDocument/2006/relationships/hyperlink" Target="https://science.nasa.gov/earth/earth-observatory/earth-at-night/maps/" TargetMode="External"/><Relationship Id="rId20" Type="http://schemas.openxmlformats.org/officeDocument/2006/relationships/hyperlink" Target="https://science.nasa.gov/photojournal/aqua-satellite-orbiting-earth-artists-concept/" TargetMode="External"/><Relationship Id="rId21" Type="http://schemas.openxmlformats.org/officeDocument/2006/relationships/hyperlink" Target="https://creativecommons.org/licenses/by/4.0/" TargetMode="External"/><Relationship Id="rId22" Type="http://schemas.openxmlformats.org/officeDocument/2006/relationships/hyperlink" Target="https://developer.apple.com/support/terms/" TargetMode="External"/><Relationship Id="rId23" Type="http://schemas.openxmlformats.org/officeDocument/2006/relationships/hyperlink" Target="https://www.apache.org/licenses/LICENS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BASTION KERN Public Preview Information Plan</dc:title>
  <dc:subject/>
  <dc:creator>ALFREDO ZARATE</dc:creator>
  <cp:keywords/>
  <dc:description/>
  <cp:lastModifiedBy>ALFREDO ZARATE</cp:lastModifiedBy>
  <cp:revision>1</cp:revision>
  <dcterms:created xsi:type="dcterms:W3CDTF">2013-12-23T23:15:00Z</dcterms:created>
  <dcterms:modified xsi:type="dcterms:W3CDTF">2013-12-23T23:15:00Z</dcterms:modified>
  <cp:category/>
  <dc:language>en-US</dc:language>
</cp:coreProperties>
</file>