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Repositorio Maestro — SOP+EPIA v4.0 (Live)</w:t>
      </w:r>
    </w:p>
    <w:p>
      <w:pPr>
        <w:jc w:val="center"/>
      </w:pPr>
      <w:r>
        <w:rPr>
          <w:color w:val="505050"/>
          <w:sz w:val="22"/>
        </w:rPr>
        <w:t>Última actualización: 2025-12-09 · Estado: Activo · Propósito: Punto único de referencia (índice + contenido crítico) para todo el trabajo de este hilo.</w:t>
      </w:r>
    </w:p>
    <w:p/>
    <w:p>
      <w:r>
        <w:rPr>
          <w:b/>
          <w:sz w:val="28"/>
        </w:rPr>
        <w:t>0) Cómo usar este repositorio</w:t>
      </w:r>
    </w:p>
    <w:p>
      <w:pPr>
        <w:pStyle w:val="ListBullet"/>
        <w:spacing w:after="20"/>
      </w:pPr>
      <w:r>
        <w:t>Chat = decisiones breves. Canvas = contenido denso (reglas, planes, prompts, auditorías).</w:t>
      </w:r>
    </w:p>
    <w:p>
      <w:pPr>
        <w:pStyle w:val="ListBullet"/>
        <w:spacing w:after="20"/>
      </w:pPr>
      <w:r>
        <w:t>Este repositorio enlaza y resume lo imprescindible. Los canvases satélite conservan el detalle completo.</w:t>
      </w:r>
    </w:p>
    <w:p>
      <w:pPr>
        <w:pStyle w:val="ListBullet"/>
        <w:spacing w:after="20"/>
      </w:pPr>
      <w:r>
        <w:t>Cada bloque tiene [Origen] para ubicar la versión fuente.</w:t>
      </w:r>
    </w:p>
    <w:p>
      <w:r>
        <w:rPr>
          <w:b/>
          <w:sz w:val="28"/>
        </w:rPr>
        <w:t>1) Índice maestro (canvases activos)</w:t>
      </w:r>
    </w:p>
    <w:p>
      <w:pPr>
        <w:pStyle w:val="ListBullet"/>
        <w:spacing w:after="20"/>
      </w:pPr>
      <w:r>
        <w:t>Compilado de comprensión de método de gestión de hilos V2 — [Origen] Canvas dedicado a la meta y proceso BuJo+Canvas+Conectores.</w:t>
      </w:r>
    </w:p>
    <w:p>
      <w:pPr>
        <w:pStyle w:val="ListBullet"/>
        <w:spacing w:after="20"/>
      </w:pPr>
      <w:r>
        <w:t>EPIA-SOP_Backup_70 — [Origen] Respaldo curado (~70%) con reglas y artefactos clave del hilo.</w:t>
      </w:r>
    </w:p>
    <w:p>
      <w:pPr>
        <w:pStyle w:val="ListBullet"/>
        <w:spacing w:after="20"/>
      </w:pPr>
      <w:r>
        <w:t>EPIA-SOP 4 — [Origen] Contenido operativo histórico (varios bloques v3.3 y conductas).</w:t>
      </w:r>
    </w:p>
    <w:p>
      <w:pPr>
        <w:pStyle w:val="ListBullet"/>
        <w:spacing w:after="20"/>
      </w:pPr>
      <w:r>
        <w:t>Nota: Si cambian los nombres de canvases satélite, actualiza este índice (sección 8).</w:t>
      </w:r>
    </w:p>
    <w:p>
      <w:r>
        <w:rPr>
          <w:b/>
          <w:sz w:val="28"/>
        </w:rPr>
        <w:t>2) Reglas núcleo SOP (vigentes hoy)</w:t>
      </w:r>
    </w:p>
    <w:p>
      <w:pPr>
        <w:pStyle w:val="ListBullet"/>
        <w:spacing w:after="20"/>
      </w:pPr>
      <w:r>
        <w:t>API-FIRST: Usar API/conector oficial si existe; CUA solo con excepción aprobada y registro.</w:t>
      </w:r>
    </w:p>
    <w:p>
      <w:pPr>
        <w:pStyle w:val="ListBullet"/>
        <w:spacing w:after="20"/>
      </w:pPr>
      <w:r>
        <w:t>PII = 0: No exponer emails/IDs/nombres; excepciones requieren aprobación explícita.</w:t>
      </w:r>
    </w:p>
    <w:p>
      <w:pPr>
        <w:pStyle w:val="ListBullet"/>
        <w:spacing w:after="20"/>
      </w:pPr>
      <w:r>
        <w:t>Salidas válidas por defecto: JSON parseable y tablas Markdown válidas.</w:t>
      </w:r>
    </w:p>
    <w:p>
      <w:pPr>
        <w:pStyle w:val="ListBullet"/>
        <w:spacing w:after="20"/>
      </w:pPr>
      <w:r>
        <w:t>Compresión/Resumen conservador: OFF por defecto; si se usa → ratio ≤ 2.5 y fidelidad ≥ 0.90.</w:t>
      </w:r>
    </w:p>
    <w:p>
      <w:pPr>
        <w:pStyle w:val="ListBullet"/>
        <w:spacing w:after="20"/>
      </w:pPr>
      <w:r>
        <w:t>FASE 2 (paquete mínimo): RuleMint 6/6 → Plan v1.2 → Confirmar (3 campos) → Footer KPI.</w:t>
      </w:r>
    </w:p>
    <w:p>
      <w:pPr>
        <w:pStyle w:val="ListBullet"/>
        <w:spacing w:after="20"/>
      </w:pPr>
      <w:r>
        <w:t>Comunicación Operativa v1.2: 1 oración (15–28 palabras) clara, con permisos y (si aplica) método.</w:t>
      </w:r>
    </w:p>
    <w:p>
      <w:pPr>
        <w:pStyle w:val="ListBullet"/>
        <w:spacing w:after="20"/>
      </w:pPr>
      <w:r>
        <w:t>B30–B34: Iterativo_Estricto, Etiquetas_Transparencia, Comandos_Control, Seguridad_Mental, Simulación_Perfecta.</w:t>
      </w:r>
    </w:p>
    <w:p>
      <w:pPr>
        <w:pStyle w:val="ListBullet"/>
        <w:spacing w:after="20"/>
      </w:pPr>
      <w:r>
        <w:t>[Origen] SOP_Regla_API_First, SOP_Reglas_Inmediatas_v3_3, SOP_Fase2_v1_0, SOP_Regla_Comunicacion_Operativa_v1_2, B30–B34.</w:t>
      </w:r>
    </w:p>
    <w:p>
      <w:r>
        <w:rPr>
          <w:b/>
          <w:sz w:val="28"/>
        </w:rPr>
        <w:t>3) Conductas inmediatas (suman capacidad hoy)</w:t>
      </w:r>
    </w:p>
    <w:p>
      <w:pPr>
        <w:pStyle w:val="ListBullet"/>
        <w:spacing w:after="20"/>
      </w:pPr>
      <w:r>
        <w:t>Routing v1-lite: Tarea→Modelo con prioridades (factualidad antes de creatividad en dominios críticos), fallbacks y diversidad de vendors.</w:t>
      </w:r>
    </w:p>
    <w:p>
      <w:pPr>
        <w:pStyle w:val="ListBullet"/>
        <w:spacing w:after="20"/>
      </w:pPr>
      <w:r>
        <w:t>Security Preflight v1.1: Secretos placeholders, PII-check, residencia región, permisos, auditoría mínima; activación condicional.</w:t>
      </w:r>
    </w:p>
    <w:p>
      <w:pPr>
        <w:pStyle w:val="ListBullet"/>
        <w:spacing w:after="20"/>
      </w:pPr>
      <w:r>
        <w:t>North-Star v1.1 (conducta): Campos en Confirmar/AutoFooter para memoria, KPIs, seguridad y mejora continua sin infra nueva.</w:t>
      </w:r>
    </w:p>
    <w:p>
      <w:pPr>
        <w:pStyle w:val="ListBullet"/>
        <w:spacing w:after="20"/>
      </w:pPr>
      <w:r>
        <w:t>Eval &amp; Governance v1-lite: eval, eval_target, budget_run, prompt_version, trace_id con targets por defecto por dominio.</w:t>
      </w:r>
    </w:p>
    <w:p>
      <w:pPr>
        <w:pStyle w:val="ListBullet"/>
        <w:spacing w:after="20"/>
      </w:pPr>
      <w:r>
        <w:t>[Origen] Auditorías y conductas validadas en este hilo (Claude/Gemini) y canvases satélite.</w:t>
      </w:r>
    </w:p>
    <w:p>
      <w:r>
        <w:rPr>
          <w:b/>
          <w:sz w:val="28"/>
        </w:rPr>
        <w:t>4) Time‑Protect v1.0 (anti‑fricción en micro‑tareas)</w:t>
      </w:r>
    </w:p>
    <w:p>
      <w:pPr>
        <w:pStyle w:val="ListBullet"/>
        <w:spacing w:after="20"/>
      </w:pPr>
      <w:r>
        <w:t>TP1 Doble ruta (Canvas + TXT) condicional por tamaño/fallo reciente.</w:t>
      </w:r>
    </w:p>
    <w:p>
      <w:pPr>
        <w:pStyle w:val="ListBullet"/>
        <w:spacing w:after="20"/>
      </w:pPr>
      <w:r>
        <w:t>TP2 POINTER compacto ([→canvas/sección·fecha]).</w:t>
      </w:r>
    </w:p>
    <w:p>
      <w:pPr>
        <w:pStyle w:val="ListBullet"/>
        <w:spacing w:after="20"/>
      </w:pPr>
      <w:r>
        <w:t>TP3 Timebox + fallback (≤1 ciclo) con reintento breve.</w:t>
      </w:r>
    </w:p>
    <w:p>
      <w:pPr>
        <w:pStyle w:val="ListBullet"/>
        <w:spacing w:after="20"/>
      </w:pPr>
      <w:r>
        <w:t>TP4 Etiqueta integrada a B31 ([TP:OK·→canvas/X] / [TP:FALLBACK·TXT]).</w:t>
      </w:r>
    </w:p>
    <w:p>
      <w:pPr>
        <w:pStyle w:val="ListBullet"/>
        <w:spacing w:after="20"/>
      </w:pPr>
      <w:r>
        <w:t>TP5 B36 operativo: prompts completos, sin pedir “pégame X”.</w:t>
      </w:r>
    </w:p>
    <w:p>
      <w:pPr>
        <w:pStyle w:val="ListBullet"/>
        <w:spacing w:after="20"/>
      </w:pPr>
      <w:r>
        <w:t>TP6 No‑loops (defaults seguros + 1 pregunta binaria máx.).</w:t>
      </w:r>
    </w:p>
    <w:p>
      <w:pPr>
        <w:pStyle w:val="ListBullet"/>
        <w:spacing w:after="20"/>
      </w:pPr>
      <w:r>
        <w:t>[Origen] SOP_TimeProtect_v1_0 + auditorías Claude/Gemini (GO con ajustes).</w:t>
      </w:r>
    </w:p>
    <w:p>
      <w:r>
        <w:rPr>
          <w:b/>
          <w:sz w:val="28"/>
        </w:rPr>
        <w:t>5) Paquete de prompts (auditorías y validaciones)</w:t>
      </w:r>
    </w:p>
    <w:p>
      <w:pPr>
        <w:pStyle w:val="ListBullet"/>
        <w:spacing w:after="20"/>
      </w:pPr>
      <w:r>
        <w:t>B35 Prompt Completo (auditoría objetiva): plantilla long‑form (600–1500 palabras) con contexto vivo, KPI, kill‑switch y prueba de humo.</w:t>
      </w:r>
    </w:p>
    <w:p>
      <w:pPr>
        <w:pStyle w:val="ListBullet"/>
        <w:spacing w:after="20"/>
      </w:pPr>
      <w:r>
        <w:t>Versión compacta (solo si opt‑out): ver restricciones y mínimos obligatorios.</w:t>
      </w:r>
    </w:p>
    <w:p>
      <w:pPr>
        <w:pStyle w:val="ListBullet"/>
        <w:spacing w:after="20"/>
      </w:pPr>
      <w:r>
        <w:t>[Origen] B35_PromptCompleto_Obligatorio_v1_0 y mejoras.</w:t>
      </w:r>
    </w:p>
    <w:p>
      <w:r>
        <w:rPr>
          <w:b/>
          <w:sz w:val="28"/>
        </w:rPr>
        <w:t>6) Plan “Blind Box $35 + Golden Ticket 1/9,000” (ejecución 7 días)</w:t>
      </w:r>
    </w:p>
    <w:p>
      <w:pPr>
        <w:pStyle w:val="ListBullet"/>
        <w:spacing w:after="20"/>
      </w:pPr>
      <w:r>
        <w:t>Oferta: $35 con valor garantizado $50+ + odds 1/9,000; AMOE visible (odds iguales).</w:t>
      </w:r>
    </w:p>
    <w:p>
      <w:pPr>
        <w:pStyle w:val="ListBullet"/>
        <w:spacing w:after="20"/>
      </w:pPr>
      <w:r>
        <w:t>Embudo: H1 dopamina/video 3s, bullets transparencia, CTA claro + AMOE link; CVR objetivo ≥7%.</w:t>
      </w:r>
    </w:p>
    <w:p>
      <w:pPr>
        <w:pStyle w:val="ListBullet"/>
        <w:spacing w:after="20"/>
      </w:pPr>
      <w:r>
        <w:t>UGC/Creators: 3 guiones listos (20s), incentivo $100/semana, hashtag #BlindBoxReveal.</w:t>
      </w:r>
    </w:p>
    <w:p>
      <w:pPr>
        <w:pStyle w:val="ListBullet"/>
        <w:spacing w:after="20"/>
      </w:pPr>
      <w:r>
        <w:t>Live Shopping: blueprint 60–90 min con momentos de dopamina + KPIs (RPM≥$80, CVR Live≥4%).</w:t>
      </w:r>
    </w:p>
    <w:p>
      <w:pPr>
        <w:pStyle w:val="ListBullet"/>
        <w:spacing w:after="20"/>
      </w:pPr>
      <w:r>
        <w:t>Retención: frequency prizes ($10 crédito, upgrade sorpresa, sticker coleccionable).</w:t>
      </w:r>
    </w:p>
    <w:p>
      <w:pPr>
        <w:pStyle w:val="ListBullet"/>
        <w:spacing w:after="20"/>
      </w:pPr>
      <w:r>
        <w:t>Riesgos/Kill‑switch: tabla de 10 riesgos + disparadores (CVR, CAC, refunds, chargebacks, UGC).</w:t>
      </w:r>
    </w:p>
    <w:p>
      <w:pPr>
        <w:pStyle w:val="ListBullet"/>
        <w:spacing w:after="20"/>
      </w:pPr>
      <w:r>
        <w:t>Plan v2 (Top‑10 cambios): acciones, owners (Lucas/Joan/Airam/Aux1/Aux2), texto exacto y tiempo.</w:t>
      </w:r>
    </w:p>
    <w:p>
      <w:pPr>
        <w:pStyle w:val="ListBullet"/>
        <w:spacing w:after="20"/>
      </w:pPr>
      <w:r>
        <w:t>[Origen] Plan Growth ejecutable (sección entregada en chat) y esta consolidación.</w:t>
      </w:r>
    </w:p>
    <w:p>
      <w:r>
        <w:rPr>
          <w:b/>
          <w:sz w:val="28"/>
        </w:rPr>
        <w:t>7) Auditorías externas (hallazgos clave)</w:t>
      </w:r>
    </w:p>
    <w:p>
      <w:pPr>
        <w:pStyle w:val="ListBullet"/>
        <w:spacing w:after="20"/>
      </w:pPr>
      <w:r>
        <w:t>Claude 4.5: GO con cambios para Time‑Protect; unificar etiquetas; TP1 condicional; medir 7 días.</w:t>
      </w:r>
    </w:p>
    <w:p>
      <w:pPr>
        <w:pStyle w:val="ListBullet"/>
        <w:spacing w:after="20"/>
      </w:pPr>
      <w:r>
        <w:t>Gemini 2.5 Pro: GO condicionado; diferencia de roles entre header TP y AutoFooter KPI; pruebas A/B con umbrales claros.</w:t>
      </w:r>
    </w:p>
    <w:p>
      <w:pPr>
        <w:pStyle w:val="ListBullet"/>
        <w:spacing w:after="20"/>
      </w:pPr>
      <w:r>
        <w:t>Perplexity (restrictiva/no restrictiva): Benchmarks legales/marketing; énfasis en AMOE, odds, winners list; riesgos PSP/ads.</w:t>
      </w:r>
    </w:p>
    <w:p>
      <w:pPr>
        <w:pStyle w:val="ListBullet"/>
        <w:spacing w:after="20"/>
      </w:pPr>
      <w:r>
        <w:t>Grok 4 / Mistral / Llama 4: Ideas de mecánicas virales (odds dinámicas, instant win), landings y copys; checklist legal base.</w:t>
      </w:r>
    </w:p>
    <w:p>
      <w:pPr>
        <w:pStyle w:val="ListBullet"/>
        <w:spacing w:after="20"/>
      </w:pPr>
      <w:r>
        <w:t>[Origen] Respuestas pegadas en este hilo.</w:t>
      </w:r>
    </w:p>
    <w:p>
      <w:r>
        <w:rPr>
          <w:b/>
          <w:sz w:val="28"/>
        </w:rPr>
        <w:t>8) Mantenimiento del repositorio (operativa)</w:t>
      </w:r>
    </w:p>
    <w:p>
      <w:pPr>
        <w:pStyle w:val="ListBullet"/>
        <w:spacing w:after="20"/>
      </w:pPr>
      <w:r>
        <w:t>Actualiza títulos/enlaces cuando renombres canvases satélite.</w:t>
      </w:r>
    </w:p>
    <w:p>
      <w:pPr>
        <w:pStyle w:val="ListBullet"/>
        <w:spacing w:after="20"/>
      </w:pPr>
      <w:r>
        <w:t>Delta‑Log (al pie): registra cambios significativos (qué, por qué, fecha).</w:t>
      </w:r>
    </w:p>
    <w:p>
      <w:pPr>
        <w:pStyle w:val="ListBullet"/>
        <w:spacing w:after="20"/>
      </w:pPr>
      <w:r>
        <w:t>Revisión quincenal: validar que reglas núcleo y conductas sigan vigentes/útiles (RuleMint 6/6).</w:t>
      </w:r>
    </w:p>
    <w:p>
      <w:r>
        <w:rPr>
          <w:b/>
          <w:sz w:val="28"/>
        </w:rPr>
        <w:t>9) Delta‑Log (cambios recientes)</w:t>
      </w:r>
    </w:p>
    <w:p>
      <w:pPr>
        <w:pStyle w:val="ListBullet"/>
        <w:spacing w:after="20"/>
      </w:pPr>
      <w:r>
        <w:t>2025‑12‑09 · Creado “Repositorio Maestro — SOP+EPIA v4.0 (Live)”.</w:t>
      </w:r>
    </w:p>
    <w:p>
      <w:pPr>
        <w:pStyle w:val="ListBullet"/>
        <w:spacing w:after="20"/>
      </w:pPr>
      <w:r>
        <w:t>2025‑12‑09 · Indexados: Compilado método V2, EPIA‑SOP_Backup_70, EPIA‑SOP 4.</w:t>
      </w:r>
    </w:p>
    <w:p>
      <w:pPr>
        <w:pStyle w:val="ListBullet"/>
        <w:spacing w:after="20"/>
      </w:pPr>
      <w:r>
        <w:t>2025‑12‑09 · Consolidado resumen de reglas núcleo, conductas, Time‑Protect, prompts B35 y Plan Blind Box.</w:t>
      </w:r>
    </w:p>
    <w:p>
      <w:r>
        <w:rPr>
          <w:b/>
          <w:sz w:val="28"/>
        </w:rPr>
        <w:t>10) Próximos (backlog mínimo)</w:t>
      </w:r>
    </w:p>
    <w:p>
      <w:pPr>
        <w:pStyle w:val="ListBullet"/>
        <w:spacing w:after="20"/>
      </w:pPr>
      <w:r>
        <w:t>Añadir enlaces profundos a secciones exactas de canvases satélite.</w:t>
      </w:r>
    </w:p>
    <w:p>
      <w:pPr>
        <w:pStyle w:val="ListBullet"/>
        <w:spacing w:after="20"/>
      </w:pPr>
      <w:r>
        <w:t>Incorporar tabla “Residencia/DPA por vendor” para Routing v1‑lite.</w:t>
      </w:r>
    </w:p>
    <w:p>
      <w:pPr>
        <w:pStyle w:val="ListBullet"/>
        <w:spacing w:after="20"/>
      </w:pPr>
      <w:r>
        <w:t>Subir plantilla “Official Rules” base (sweepstakes + AMOE) en español/inglés.</w:t>
      </w:r>
    </w:p>
    <w:p/>
    <w:p>
      <w:pPr>
        <w:jc w:val="right"/>
      </w:pPr>
      <w:r>
        <w:rPr>
          <w:color w:val="787878"/>
          <w:sz w:val="18"/>
        </w:rPr>
        <w:t>Generado desde ChatGPT · 2025-12-26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