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Title"/>
      </w:pPr>
      <w:r>
        <w:t>Monitoreo IoT</w:t>
        <w:br/>
        <w:t>Calidad del aire en el aula</w:t>
      </w:r>
    </w:p>
    <w:p>
      <w:pPr>
        <w:pStyle w:val="Subtitle"/>
      </w:pPr>
      <w:r>
        <w:t>INFORME DE AVANCE DEL SPRINT 2</w:t>
      </w:r>
    </w:p>
    <w:p>
      <w:r>
        <w:t>Grupo 22 · Servicios Telemáticos · UMSS</w:t>
      </w:r>
    </w:p>
    <w:p>
      <w:r>
        <w:t>Responsable del informe: Alfredo (@alfredoronald)</w:t>
      </w:r>
    </w:p>
    <w:p>
      <w:r>
        <w:t>Issue de seguimiento: #72 · Dependencia: #71</w:t>
      </w:r>
    </w:p>
    <w:p>
      <w:r>
        <w:t>Fecha de corte: 16/10/2026, 14:44:15 UTC-0400</w:t>
      </w:r>
    </w:p>
    <w:p>
      <w:pPr>
        <w:pStyle w:val="Heading1"/>
      </w:pPr>
      <w:r>
        <w:t>Propósito</w:t>
      </w:r>
    </w:p>
    <w:p>
      <w:r>
        <w:t>Presentar el avance de las HU-04, HU-05 y HU-06 mediante sus productos, responsables y porcentaje de tareas terminadas, e incorporar las evidencias verificadas del Sprint 1.</w:t>
      </w:r>
    </w:p>
    <w:p>
      <w:pPr>
        <w:pStyle w:val="Heading1"/>
      </w:pPr>
      <w:r>
        <w:t>Objetivo del Sprint 2</w:t>
      </w:r>
    </w:p>
    <w:p>
      <w:r>
        <w:t>Exponer una API REST para consultar el histórico de lecturas y construir el dashboard web en React con Recharts que muestre las variables en tiempo casi real y el estado de la calidad del aire.</w:t>
      </w:r>
    </w:p>
    <w:p>
      <w:r>
        <w:t>Arquitectura del prototipo: ESP32 → Mosquitto → backend Express → PostgreSQL → API REST → dashboard React.</w:t>
      </w:r>
    </w:p>
    <w:p>
      <w:pPr>
        <w:spacing w:after="100"/>
      </w:pPr>
      <w:hyperlink r:id="rId11">
        <w:r>
          <w:rPr>
            <w:color w:val="176899"/>
            <w:sz w:val="18"/>
          </w:rPr>
          <w:t>Seguimiento del informe: issue #72</w:t>
        </w:r>
      </w:hyperlink>
    </w:p>
    <w:p>
      <w:pPr>
        <w:spacing w:after="100"/>
      </w:pPr>
      <w:hyperlink r:id="rId12">
        <w:r>
          <w:rPr>
            <w:color w:val="176899"/>
            <w:sz w:val="18"/>
          </w:rPr>
          <w:t>Sprint Planning completada: issue #71</w:t>
        </w:r>
      </w:hyperlink>
    </w:p>
    <w:p>
      <w:r>
        <w:br w:type="page"/>
      </w:r>
    </w:p>
    <w:p>
      <w:pPr>
        <w:pStyle w:val="Heading1"/>
      </w:pPr>
      <w:r>
        <w:t>1. Seguimiento del Sprint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376"/>
        <w:gridCol w:w="3816"/>
        <w:gridCol w:w="1872"/>
      </w:tblGrid>
      <w:tr>
        <w:trPr>
          <w:tblHeader/>
          <w:cantSplit/>
        </w:trPr>
        <w:tc>
          <w:tcPr>
            <w:tcW w:type="dxa" w:w="1800"/>
            <w:shd w:fill="17365D"/>
            <w:vAlign w:val="center"/>
          </w:tcPr>
          <w:p>
            <w:pPr>
              <w:spacing w:after="100"/>
            </w:pPr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spacing w:after="100"/>
            </w:pPr>
            <w:r>
              <w:rPr>
                <w:b/>
                <w:color w:val="FFFFFF"/>
                <w:sz w:val="20"/>
              </w:rPr>
              <w:t>Responsables</w:t>
            </w:r>
          </w:p>
        </w:tc>
        <w:tc>
          <w:tcPr>
            <w:tcW w:type="dxa" w:w="3816"/>
            <w:shd w:fill="17365D"/>
            <w:vAlign w:val="center"/>
          </w:tcPr>
          <w:p>
            <w:pPr>
              <w:spacing w:after="100"/>
            </w:pPr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1872"/>
            <w:shd w:fill="17365D"/>
            <w:vAlign w:val="center"/>
          </w:tcPr>
          <w:p>
            <w:pPr>
              <w:spacing w:after="100"/>
            </w:pPr>
            <w:r>
              <w:rPr>
                <w:b/>
                <w:color w:val="FFFFFF"/>
                <w:sz w:val="20"/>
              </w:rPr>
              <w:t>Estado</w:t>
              <w:br/>
              <w:t>(% de avance)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100"/>
            </w:pPr>
            <w:r>
              <w:rPr>
                <w:sz w:val="20"/>
              </w:rPr>
              <w:t>HU-04 · API REST e histórico</w:t>
            </w:r>
          </w:p>
        </w:tc>
        <w:tc>
          <w:tcPr>
            <w:tcW w:type="dxa" w:w="2376"/>
            <w:vAlign w:val="center"/>
          </w:tcPr>
          <w:p>
            <w:pPr>
              <w:spacing w:after="100"/>
            </w:pPr>
            <w:r>
              <w:rPr>
                <w:sz w:val="20"/>
              </w:rPr>
              <w:t>Valentina (@valeMercado)</w:t>
              <w:br/>
              <w:t>Rodrigo (@RodrigoChalco)</w:t>
            </w:r>
          </w:p>
        </w:tc>
        <w:tc>
          <w:tcPr>
            <w:tcW w:type="dxa" w:w="3816"/>
            <w:vAlign w:val="center"/>
          </w:tcPr>
          <w:p>
            <w:pPr>
              <w:spacing w:after="100"/>
            </w:pPr>
            <w:r>
              <w:rPr>
                <w:sz w:val="20"/>
              </w:rPr>
              <w:t>API de consultas filtradas y últimas lecturas; validación, CORS y documentación.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42,9 %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100"/>
            </w:pPr>
            <w:r>
              <w:rPr>
                <w:sz w:val="20"/>
              </w:rPr>
              <w:t>HU-05 · Dashboard web</w:t>
            </w:r>
          </w:p>
        </w:tc>
        <w:tc>
          <w:tcPr>
            <w:tcW w:type="dxa" w:w="2376"/>
            <w:vAlign w:val="center"/>
          </w:tcPr>
          <w:p>
            <w:pPr>
              <w:spacing w:after="100"/>
            </w:pPr>
            <w:r>
              <w:rPr>
                <w:sz w:val="20"/>
              </w:rPr>
              <w:t>Maicol (@maicolismael)</w:t>
              <w:br/>
              <w:t>Erick (@ErickAr-Dev)</w:t>
            </w:r>
          </w:p>
        </w:tc>
        <w:tc>
          <w:tcPr>
            <w:tcW w:type="dxa" w:w="3816"/>
            <w:vAlign w:val="center"/>
          </w:tcPr>
          <w:p>
            <w:pPr>
              <w:spacing w:after="100"/>
            </w:pPr>
            <w:r>
              <w:rPr>
                <w:sz w:val="20"/>
              </w:rPr>
              <w:t>Dashboard React con tarjetas, gráficos Recharts, filtros de fechas y diseño adaptable.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25 %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100"/>
            </w:pPr>
            <w:r>
              <w:rPr>
                <w:sz w:val="20"/>
              </w:rPr>
              <w:t>HU-06 · Estado del aire y alertas</w:t>
            </w:r>
          </w:p>
        </w:tc>
        <w:tc>
          <w:tcPr>
            <w:tcW w:type="dxa" w:w="2376"/>
            <w:vAlign w:val="center"/>
          </w:tcPr>
          <w:p>
            <w:pPr>
              <w:spacing w:after="100"/>
            </w:pPr>
            <w:r>
              <w:rPr>
                <w:sz w:val="20"/>
              </w:rPr>
              <w:t>Alfredo (@alfredoronald)</w:t>
              <w:br/>
              <w:t>Marcela (@MarcelaChalcoSoliz)</w:t>
            </w:r>
          </w:p>
        </w:tc>
        <w:tc>
          <w:tcPr>
            <w:tcW w:type="dxa" w:w="3816"/>
            <w:vAlign w:val="center"/>
          </w:tcPr>
          <w:p>
            <w:pPr>
              <w:spacing w:after="100"/>
            </w:pPr>
            <w:r>
              <w:rPr>
                <w:sz w:val="20"/>
              </w:rPr>
              <w:t>Indicador del aire, umbrales configurables, registro de alertas y atención desde el dashboard.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16,7 %</w:t>
            </w:r>
          </w:p>
        </w:tc>
      </w:tr>
    </w:tbl>
    <w:p>
      <w:pPr>
        <w:pStyle w:val="Heading2"/>
      </w:pPr>
      <w:r>
        <w:t>Criterio de cálculo</w:t>
      </w:r>
    </w:p>
    <w:p>
      <w:r>
        <w:t>Avance de cada HU = tareas con estado Done ÷ total de subtareas de la HU × 100. Cada tarea tiene el mismo peso. In Review, In Progress, Ready y Backlog no suman avance terminado. No se cuentan las historias padre ni se pondera por horas o story points.</w:t>
      </w:r>
    </w:p>
    <w:p>
      <w:r>
        <w:t>Los porcentajes son una fotografía del tablero en la fecha de corte; no representan la aceptación completa de la HU ni garantizan que todo su trabajo esté integrado en develop.</w:t>
      </w:r>
    </w:p>
    <w:p>
      <w:pPr>
        <w:pStyle w:val="Heading2"/>
      </w:pPr>
      <w:r>
        <w:t>HU-04 · API REST e histórico</w:t>
      </w:r>
    </w:p>
    <w:p>
      <w:r>
        <w:t>3 de 7 tareas terminadas. Done: #73, #74, #76.</w:t>
      </w:r>
    </w:p>
    <w:p>
      <w:r>
        <w:t>Pendientes al corte: #75: Ready; #77: Ready; #78: Backlog; #79: Backlog.</w:t>
      </w:r>
    </w:p>
    <w:p>
      <w:pPr>
        <w:spacing w:after="100"/>
      </w:pPr>
      <w:hyperlink r:id="rId13">
        <w:r>
          <w:rPr>
            <w:color w:val="176899"/>
            <w:sz w:val="18"/>
          </w:rPr>
          <w:t>Fuente: HU #68 y sus subtareas en el tablero</w:t>
        </w:r>
      </w:hyperlink>
    </w:p>
    <w:p>
      <w:pPr>
        <w:pStyle w:val="Heading2"/>
      </w:pPr>
      <w:r>
        <w:t>HU-05 · Dashboard web</w:t>
      </w:r>
    </w:p>
    <w:p>
      <w:r>
        <w:t>2 de 8 tareas terminadas. Done: #80, #81.</w:t>
      </w:r>
    </w:p>
    <w:p>
      <w:r>
        <w:t>Pendientes al corte: #82: In Review; #83: Backlog; #84: Backlog; #85: Backlog; #86: Backlog; #87: Backlog.</w:t>
      </w:r>
    </w:p>
    <w:p>
      <w:pPr>
        <w:spacing w:after="100"/>
      </w:pPr>
      <w:hyperlink r:id="rId14">
        <w:r>
          <w:rPr>
            <w:color w:val="176899"/>
            <w:sz w:val="18"/>
          </w:rPr>
          <w:t>Fuente: HU #69 y sus subtareas en el tablero</w:t>
        </w:r>
      </w:hyperlink>
    </w:p>
    <w:p>
      <w:pPr>
        <w:pStyle w:val="Heading2"/>
      </w:pPr>
      <w:r>
        <w:t>HU-06 · Estado del aire y alertas</w:t>
      </w:r>
    </w:p>
    <w:p>
      <w:r>
        <w:t>1 de 6 tareas terminadas. Done: #88.</w:t>
      </w:r>
    </w:p>
    <w:p>
      <w:r>
        <w:t>Pendientes al corte: #89: In Progress; #90: In Progress; #91: Backlog; #92: Backlog; #93: Backlog.</w:t>
      </w:r>
    </w:p>
    <w:p>
      <w:pPr>
        <w:spacing w:after="100"/>
      </w:pPr>
      <w:hyperlink r:id="rId15">
        <w:r>
          <w:rPr>
            <w:color w:val="176899"/>
            <w:sz w:val="18"/>
          </w:rPr>
          <w:t>Fuente: HU #70 y sus subtareas en el tablero</w:t>
        </w:r>
      </w:hyperlink>
    </w:p>
    <w:p>
      <w:r>
        <w:br w:type="page"/>
      </w:r>
    </w:p>
    <w:p>
      <w:pPr>
        <w:pStyle w:val="Heading1"/>
      </w:pPr>
      <w:r>
        <w:t>2. Evidencias del Sprint 1 · Firmware</w:t>
      </w:r>
    </w:p>
    <w:p>
      <w:r>
        <w:t>HU-01 (#2). Responsables: Maicol (@maicolismael) y Erick (@ErickAr-Dev). Estado del tablero: Done. Producto: adquisición de temperatura, humedad y CO₂ estimado, conexión y publicación MQTT.</w:t>
      </w:r>
    </w:p>
    <w:p>
      <w:r>
        <w:t>El MQ-135 utiliza ADC1/GPIO34. El acondicionamiento inicial de al menos 24 horas es distinto de la espera de arranque. El CO₂ es una estimación provisional, pendiente de calibración HU-08.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57632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Captura del monitor serie con lecturas físicas válidas del DHT22 (#10).</w:t>
      </w:r>
    </w:p>
    <w:p>
      <w:pPr>
        <w:spacing w:after="100"/>
      </w:pPr>
      <w:hyperlink r:id="rId17">
        <w:r>
          <w:rPr>
            <w:color w:val="176899"/>
            <w:sz w:val="18"/>
          </w:rPr>
          <w:t>Fuente: docs/evidencias/t1-4/monitor-lecturas-valida.png</w:t>
        </w:r>
      </w:hyperlink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520440" cy="201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Captura real de recepción MQTT durante el ensayo de diez minutos (#14).</w:t>
      </w:r>
    </w:p>
    <w:p>
      <w:pPr>
        <w:spacing w:after="100"/>
      </w:pPr>
      <w:hyperlink r:id="rId19">
        <w:r>
          <w:rPr>
            <w:color w:val="176899"/>
            <w:sz w:val="18"/>
          </w:rPr>
          <w:t>Fuente: docs/evidencias/t1-8/recepcion-10-minutos.png</w:t>
        </w:r>
      </w:hyperlink>
    </w:p>
    <w:p>
      <w:r>
        <w:t>Resultado documentado: 40 mensajes por topic (temperatura, humedad y co2), 120 en total y cero faltantes observados. Los sellos de la primera y última muestra están separados 585 s; la suscripción se configuró para 600 s. QoS 0 no garantiza entrega bajo fallos.</w:t>
      </w:r>
    </w:p>
    <w:p>
      <w:pPr>
        <w:spacing w:after="100"/>
      </w:pPr>
      <w:hyperlink r:id="rId20">
        <w:r>
          <w:rPr>
            <w:color w:val="176899"/>
            <w:sz w:val="18"/>
          </w:rPr>
          <w:t>Procedimiento, conteos y límites de la prueba #14</w:t>
        </w:r>
      </w:hyperlink>
    </w:p>
    <w:p>
      <w:r>
        <w:br w:type="page"/>
      </w:r>
    </w:p>
    <w:p>
      <w:pPr>
        <w:pStyle w:val="Heading1"/>
      </w:pPr>
      <w:r>
        <w:t>3. Evidencias del Sprint 1 · Broker y backend</w:t>
      </w:r>
    </w:p>
    <w:p>
      <w:r>
        <w:t>HU-02 (#3). Responsables: Valentina (@valeMercado) y Rodrigo (@RodrigoChalco). Estado del tablero: Done. Producto: broker autenticado, suscriptor MQTT, validación y registro de mensajes.</w:t>
      </w:r>
    </w:p>
    <w:p>
      <w:r>
        <w:t>Mosquitto utiliza listener 1883, autenticación y ACL: esp32 publica y backend lee en ambiente/#. El backend valida topics y contenidos numéricos, construye el contrato de lectura y descarta mensajes inválidos.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26600" cy="1965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66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Captura del broker activo; evidencia de instalación y arranque (#15/#44).</w:t>
      </w:r>
    </w:p>
    <w:p>
      <w:pPr>
        <w:spacing w:after="100"/>
      </w:pPr>
      <w:hyperlink r:id="rId22">
        <w:r>
          <w:rPr>
            <w:color w:val="176899"/>
            <w:sz w:val="18"/>
          </w:rPr>
          <w:t>Fuente: docs/evidencias/captura-broker-activo-t2-1.png</w:t>
        </w:r>
      </w:hyperlink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629591" cy="19659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591" cy="196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Captura de JSON de lectura válida y descartes en el backend (#20).</w:t>
      </w:r>
    </w:p>
    <w:p>
      <w:pPr>
        <w:spacing w:after="100"/>
      </w:pPr>
      <w:hyperlink r:id="rId24">
        <w:r>
          <w:rPr>
            <w:color w:val="176899"/>
            <w:sz w:val="18"/>
          </w:rPr>
          <w:t>Fuente: docs/evidencias/validacion-mensajes-20.png</w:t>
        </w:r>
      </w:hyperlink>
    </w:p>
    <w:p>
      <w:r>
        <w:t>La evidencia de validación distingue las comprobaciones automatizadas con un broker mínimo de las publicaciones realizadas contra servicios locales. El mensaje ambiente/status no se trata como lectura.</w:t>
      </w:r>
    </w:p>
    <w:p>
      <w:pPr>
        <w:spacing w:after="100"/>
      </w:pPr>
      <w:hyperlink r:id="rId25">
        <w:r>
          <w:rPr>
            <w:color w:val="176899"/>
            <w:sz w:val="18"/>
          </w:rPr>
          <w:t>Resultados y reproducción de la validación #20</w:t>
        </w:r>
      </w:hyperlink>
    </w:p>
    <w:p>
      <w:pPr>
        <w:spacing w:after="100"/>
      </w:pPr>
      <w:hyperlink r:id="rId26">
        <w:r>
          <w:rPr>
            <w:color w:val="176899"/>
            <w:sz w:val="18"/>
          </w:rPr>
          <w:t>Prueba de carga de 100 mensajes: issue #22 (Done; detalle en su evidencia de revisión)</w:t>
        </w:r>
      </w:hyperlink>
    </w:p>
    <w:p>
      <w:r>
        <w:br w:type="page"/>
      </w:r>
    </w:p>
    <w:p>
      <w:pPr>
        <w:pStyle w:val="Heading1"/>
      </w:pPr>
      <w:r>
        <w:t>4. Evidencias del Sprint 1 · PostgreSQL</w:t>
      </w:r>
    </w:p>
    <w:p>
      <w:r>
        <w:t>HU-03 (#4). Responsables: Alfredo (@alfredoronald) y Marcela (@MarcelaChalcoSoliz). Estado del tablero: Done. Producto: base monitoreo_ambiental, esquema de lecturas e índices, conexión y persistencia parametrizada.</w:t>
      </w:r>
    </w:p>
    <w:p>
      <w:r>
        <w:t>La verificación del histórico (#29) publicó 18 mensajes: 15 lecturas válidas y 3 descartes. Se guardaron 5 filas por variable, con coincidencia exacta de los 15 valores publicados.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920217" cy="1965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0217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Captura real de psql: conteo controlado, 15 lecturas y coincidencia por variable (#29).</w:t>
      </w:r>
    </w:p>
    <w:p>
      <w:pPr>
        <w:spacing w:after="100"/>
      </w:pPr>
      <w:hyperlink r:id="rId28">
        <w:r>
          <w:rPr>
            <w:color w:val="176899"/>
            <w:sz w:val="18"/>
          </w:rPr>
          <w:t>Fuente: docs/evidencias/conteo-lecturas-29.png</w:t>
        </w:r>
      </w:hyperlink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017796" cy="1965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7796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Captura real de psql: últimas lecturas registradas por variable (#29).</w:t>
      </w:r>
    </w:p>
    <w:p>
      <w:pPr>
        <w:spacing w:after="100"/>
      </w:pPr>
      <w:hyperlink r:id="rId30">
        <w:r>
          <w:rPr>
            <w:color w:val="176899"/>
            <w:sz w:val="18"/>
          </w:rPr>
          <w:t>Fuente: docs/evidencias/ultimas-lecturas-29.png</w:t>
        </w:r>
      </w:hyperlink>
    </w:p>
    <w:p>
      <w:r>
        <w:t>Últimos valores de esa ejecución: CO₂=655,00 ppm, humedad=55,55 % HR y temperatura=25,55 °C. Son datos de prueba, no mediciones físicas del aula. El ensayo utilizó un broker separado en el puerto 1884.</w:t>
      </w:r>
    </w:p>
    <w:p>
      <w:pPr>
        <w:spacing w:after="100"/>
      </w:pPr>
      <w:hyperlink r:id="rId31">
        <w:r>
          <w:rPr>
            <w:color w:val="176899"/>
            <w:sz w:val="18"/>
          </w:rPr>
          <w:t>Procedimiento y resultados completos del histórico #29</w:t>
        </w:r>
      </w:hyperlink>
    </w:p>
    <w:p>
      <w:r>
        <w:br w:type="page"/>
      </w:r>
    </w:p>
    <w:p>
      <w:pPr>
        <w:pStyle w:val="Heading1"/>
      </w:pPr>
      <w:r>
        <w:t>5. Integración del Sprint 1 · Inicio y seguimiento</w:t>
      </w:r>
    </w:p>
    <w:p>
      <w:r>
        <w:t>Prueba física de extremo a extremo (#32), ejecutada el 13/10/2026 sobre develop c9f2d2d: ESP32 → Mosquitto → backend → PostgreSQL. Ventana UTC: 18:46:51.340 a 18:51:51.532; duración registrada: 300,191 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588467" cy="24231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88467" cy="242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Reporte generado desde los registros reales: inicio de la integración (#32).</w:t>
      </w:r>
    </w:p>
    <w:p>
      <w:pPr>
        <w:spacing w:after="100"/>
      </w:pPr>
      <w:hyperlink r:id="rId33">
        <w:r>
          <w:rPr>
            <w:color w:val="176899"/>
            <w:sz w:val="18"/>
          </w:rPr>
          <w:t>Fuente: docs/evidencias/t4-1/prueba-5min/inicio.png</w:t>
        </w:r>
      </w:hyperlink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588467" cy="24231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88467" cy="242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8. Reporte generado desde los registros reales: punto intermedio (#32).</w:t>
      </w:r>
    </w:p>
    <w:p>
      <w:pPr>
        <w:spacing w:after="100"/>
      </w:pPr>
      <w:hyperlink r:id="rId35">
        <w:r>
          <w:rPr>
            <w:color w:val="176899"/>
            <w:sz w:val="18"/>
          </w:rPr>
          <w:t>Fuente: docs/evidencias/t4-1/prueba-5min/intermedio.png</w:t>
        </w:r>
      </w:hyperlink>
    </w:p>
    <w:p>
      <w:r>
        <w:t>Estas figuras son reportes derivados de datos reales de la ejecución, no capturas directas de una terminal. Los registros comprimidos respaldan la comparación.</w:t>
      </w:r>
    </w:p>
    <w:p>
      <w:r>
        <w:br w:type="page"/>
      </w:r>
    </w:p>
    <w:p>
      <w:pPr>
        <w:pStyle w:val="Heading1"/>
      </w:pPr>
      <w:r>
        <w:t>6. Integración del Sprint 1 · Cierre y comparación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979105" cy="2011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79105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9. Reporte generado desde registros reales: cierre de la ventana de cinco minutos (#32).</w:t>
      </w:r>
    </w:p>
    <w:p>
      <w:pPr>
        <w:spacing w:after="100"/>
      </w:pPr>
      <w:hyperlink r:id="rId37">
        <w:r>
          <w:rPr>
            <w:color w:val="176899"/>
            <w:sz w:val="18"/>
          </w:rPr>
          <w:t>Fuente: docs/evidencias/t4-1/prueba-5min/final.png</w:t>
        </w:r>
      </w:hyperlink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979105" cy="2011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79105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10. Reporte generado desde registros reales: comparación entre las cuatro etapas (#32).</w:t>
      </w:r>
    </w:p>
    <w:p>
      <w:pPr>
        <w:spacing w:after="100"/>
      </w:pPr>
      <w:hyperlink r:id="rId38">
        <w:r>
          <w:rPr>
            <w:color w:val="176899"/>
            <w:sz w:val="18"/>
          </w:rPr>
          <w:t>Fuente: docs/evidencias/t4-1/prueba-5min/comparacion.png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/>
          <w:cantSplit/>
        </w:trPr>
        <w:tc>
          <w:tcPr>
            <w:tcW w:type="dxa" w:w="2376"/>
            <w:shd w:fill="17365D"/>
            <w:vAlign w:val="center"/>
          </w:tcPr>
          <w:p>
            <w:pPr>
              <w:spacing w:after="100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872"/>
            <w:shd w:fill="17365D"/>
            <w:vAlign w:val="center"/>
          </w:tcPr>
          <w:p>
            <w:pPr>
              <w:spacing w:after="100"/>
            </w:pPr>
            <w:r>
              <w:rPr>
                <w:b/>
                <w:color w:val="FFFFFF"/>
                <w:sz w:val="20"/>
              </w:rPr>
              <w:t>ESP32</w:t>
            </w:r>
          </w:p>
        </w:tc>
        <w:tc>
          <w:tcPr>
            <w:tcW w:type="dxa" w:w="1872"/>
            <w:shd w:fill="17365D"/>
            <w:vAlign w:val="center"/>
          </w:tcPr>
          <w:p>
            <w:pPr>
              <w:spacing w:after="100"/>
            </w:pPr>
            <w:r>
              <w:rPr>
                <w:b/>
                <w:color w:val="FFFFFF"/>
                <w:sz w:val="20"/>
              </w:rPr>
              <w:t>Broker</w:t>
            </w:r>
          </w:p>
        </w:tc>
        <w:tc>
          <w:tcPr>
            <w:tcW w:type="dxa" w:w="1872"/>
            <w:shd w:fill="17365D"/>
            <w:vAlign w:val="center"/>
          </w:tcPr>
          <w:p>
            <w:pPr>
              <w:spacing w:after="100"/>
            </w:pPr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1872"/>
            <w:shd w:fill="17365D"/>
            <w:vAlign w:val="center"/>
          </w:tcPr>
          <w:p>
            <w:pPr>
              <w:spacing w:after="100"/>
            </w:pPr>
            <w:r>
              <w:rPr>
                <w:b/>
                <w:color w:val="FFFFFF"/>
                <w:sz w:val="20"/>
              </w:rPr>
              <w:t>PostgreSQL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100"/>
            </w:pPr>
            <w:r>
              <w:rPr>
                <w:sz w:val="20"/>
              </w:rPr>
              <w:t>Temperatura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100"/>
            </w:pPr>
            <w:r>
              <w:rPr>
                <w:sz w:val="20"/>
              </w:rPr>
              <w:t>Humedad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100"/>
            </w:pPr>
            <w:r>
              <w:rPr>
                <w:sz w:val="20"/>
              </w:rPr>
              <w:t>CO₂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100"/>
            </w:pPr>
            <w:r>
              <w:rPr>
                <w:sz w:val="20"/>
              </w:rPr>
              <w:t>Total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60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60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60</w:t>
            </w:r>
          </w:p>
        </w:tc>
        <w:tc>
          <w:tcPr>
            <w:tcW w:type="dxa" w:w="1872"/>
            <w:vAlign w:val="center"/>
          </w:tcPr>
          <w:p>
            <w:pPr>
              <w:spacing w:after="100"/>
            </w:pPr>
            <w:r>
              <w:rPr>
                <w:sz w:val="20"/>
              </w:rPr>
              <w:t>60</w:t>
            </w:r>
          </w:p>
        </w:tc>
      </w:tr>
    </w:tbl>
    <w:p>
      <w:r>
        <w:t>Diferencia observada: cero; coinciden cantidades, valores y secuencias por variable. No se registraron reinicios, desconexiones ni errores dentro de la ventana. Las desconexiones previas de preparación se siguieron en #100. Esta prueba de cinco minutos no demuestra la prueba de 30 minutos prevista para el Sprint 2 (#94).</w:t>
      </w:r>
    </w:p>
    <w:p>
      <w:pPr>
        <w:spacing w:after="100"/>
      </w:pPr>
      <w:hyperlink r:id="rId39">
        <w:r>
          <w:rPr>
            <w:color w:val="176899"/>
            <w:sz w:val="18"/>
          </w:rPr>
          <w:t>Informe de integración #32</w:t>
        </w:r>
      </w:hyperlink>
    </w:p>
    <w:p>
      <w:pPr>
        <w:spacing w:after="100"/>
      </w:pPr>
      <w:hyperlink r:id="rId40">
        <w:r>
          <w:rPr>
            <w:color w:val="176899"/>
            <w:sz w:val="18"/>
          </w:rPr>
          <w:t>Registros comprimidos de la ejecución</w:t>
        </w:r>
      </w:hyperlink>
    </w:p>
    <w:p>
      <w:r>
        <w:br w:type="page"/>
      </w:r>
    </w:p>
    <w:p>
      <w:pPr>
        <w:pStyle w:val="Heading1"/>
      </w:pPr>
      <w:r>
        <w:t>7. Pendientes, conclusiones y fuentes</w:t>
      </w:r>
    </w:p>
    <w:p>
      <w:pPr>
        <w:pStyle w:val="Heading2"/>
      </w:pPr>
      <w:r>
        <w:t>Próximos pasos del Sprint 2</w:t>
      </w:r>
    </w:p>
    <w:p>
      <w:pPr>
        <w:pStyle w:val="ListBullet"/>
      </w:pPr>
      <w:r>
        <w:t>HU-04: completar validación de parámetros, CORS y errores, pruebas de endpoints y tiempo de consulta de 24 horas, y documentación del README.</w:t>
      </w:r>
    </w:p>
    <w:p>
      <w:pPr>
        <w:pStyle w:val="ListBullet"/>
      </w:pPr>
      <w:r>
        <w:t>HU-05: completar la revisión del layout, tarjetas y actualización cada 15 s, gráficos, selector de fechas, estados de interfaz y pruebas responsive.</w:t>
      </w:r>
    </w:p>
    <w:p>
      <w:pPr>
        <w:pStyle w:val="ListBullet"/>
      </w:pPr>
      <w:r>
        <w:t>HU-06: completar endpoints de estado y alertas, generación por cambio de nivel, indicador visual, atención de alertas y prueba de los tres niveles.</w:t>
      </w:r>
    </w:p>
    <w:p>
      <w:pPr>
        <w:pStyle w:val="ListBullet"/>
      </w:pPr>
      <w:r>
        <w:t>Gestión: finalizar este informe (#72), ejecutar la integración de 30 minutos (#94) y realizar la Sprint Review y retrospectiva del Sprint 2 (#95).</w:t>
      </w:r>
    </w:p>
    <w:p>
      <w:pPr>
        <w:pStyle w:val="Heading2"/>
      </w:pPr>
      <w:r>
        <w:t>Condición de los umbrales de CO₂</w:t>
      </w:r>
    </w:p>
    <w:p>
      <w:r>
        <w:t>La revisión #88 está en Done. Se aceptan provisionalmente 0–&lt;800, 800–&lt;1200 y ≥1200 ppm para implementar y probar el Sprint 2. Su aceptación definitiva requiere documentar su justificación y revisar los resultados de la calibración HU-08.</w:t>
      </w:r>
    </w:p>
    <w:p>
      <w:pPr>
        <w:pStyle w:val="Heading2"/>
      </w:pPr>
      <w:r>
        <w:t>Conclusión</w:t>
      </w:r>
    </w:p>
    <w:p>
      <w:r>
        <w:t>El Sprint 1 aporta el flujo físico de adquisición, recepción y persistencia respaldado por evidencias. El Sprint 2 avanza en API, cliente web y configuración del estado del aire; los porcentajes de la tabla reflejan solo tareas Done y mantienen visible el trabajo restante antes de la integración y aceptación final.</w:t>
      </w:r>
    </w:p>
    <w:p>
      <w:pPr>
        <w:pStyle w:val="Heading2"/>
      </w:pPr>
      <w:r>
        <w:t>Fuentes y trazabilidad</w:t>
      </w:r>
    </w:p>
    <w:p>
      <w:r>
        <w:t>Fuente del avance: campo Status del tablero Monitoreo IoT - Sprint Board y subtareas declaradas en #68, #69 y #70. Consulta realizada: 16/10/2026 14:44:15 UTC-0400.</w:t>
      </w:r>
    </w:p>
    <w:p>
      <w:pPr>
        <w:spacing w:after="100"/>
      </w:pPr>
      <w:hyperlink r:id="rId41">
        <w:r>
          <w:rPr>
            <w:color w:val="176899"/>
            <w:sz w:val="18"/>
          </w:rPr>
          <w:t>#67 — Sprint 2: Gestión e integración (sin HU)</w:t>
        </w:r>
      </w:hyperlink>
    </w:p>
    <w:p>
      <w:pPr>
        <w:spacing w:after="100"/>
      </w:pPr>
      <w:hyperlink r:id="rId13">
        <w:r>
          <w:rPr>
            <w:color w:val="176899"/>
            <w:sz w:val="18"/>
          </w:rPr>
          <w:t>#68 — HU-04: API REST de consultas e histórico</w:t>
        </w:r>
      </w:hyperlink>
    </w:p>
    <w:p>
      <w:pPr>
        <w:spacing w:after="100"/>
      </w:pPr>
      <w:hyperlink r:id="rId14">
        <w:r>
          <w:rPr>
            <w:color w:val="176899"/>
            <w:sz w:val="18"/>
          </w:rPr>
          <w:t>#69 — HU-05: Dashboard web en React con Recharts</w:t>
        </w:r>
      </w:hyperlink>
    </w:p>
    <w:p>
      <w:pPr>
        <w:spacing w:after="100"/>
      </w:pPr>
      <w:hyperlink r:id="rId15">
        <w:r>
          <w:rPr>
            <w:color w:val="176899"/>
            <w:sz w:val="18"/>
          </w:rPr>
          <w:t>#70 — HU-06: Indicador de calidad del aire y alertas de CO2</w:t>
        </w:r>
      </w:hyperlink>
    </w:p>
    <w:p>
      <w:pPr>
        <w:spacing w:after="100"/>
      </w:pPr>
      <w:hyperlink r:id="rId12">
        <w:r>
          <w:rPr>
            <w:color w:val="176899"/>
            <w:sz w:val="18"/>
          </w:rPr>
          <w:t>#71 — Gestión: [T-0.3] Sprint Planning del Sprint 2 y carga en el kanban</w:t>
        </w:r>
      </w:hyperlink>
    </w:p>
    <w:p>
      <w:pPr>
        <w:spacing w:after="100"/>
      </w:pPr>
      <w:hyperlink r:id="rId11">
        <w:r>
          <w:rPr>
            <w:color w:val="176899"/>
            <w:sz w:val="18"/>
          </w:rPr>
          <w:t>#72 — Gestión: [T-0.4] Actualización del informe con el Sprint 2 y las evidencias del Sprint 1</w:t>
        </w:r>
      </w:hyperlink>
    </w:p>
    <w:p>
      <w:pPr>
        <w:spacing w:after="100"/>
      </w:pPr>
      <w:hyperlink r:id="rId42">
        <w:r>
          <w:rPr>
            <w:color w:val="176899"/>
            <w:sz w:val="18"/>
          </w:rPr>
          <w:t>#32 — Gestión: [T-4.1] Prueba de integración de extremo a extremo (5 min)</w:t>
        </w:r>
      </w:hyperlink>
    </w:p>
    <w:p>
      <w:pPr>
        <w:spacing w:after="100"/>
      </w:pPr>
      <w:hyperlink r:id="rId43">
        <w:r>
          <w:rPr>
            <w:color w:val="176899"/>
            <w:sz w:val="18"/>
          </w:rPr>
          <w:t>#33 — Gestión: [T-4.2] Sprint Review y retrospectiva</w:t>
        </w:r>
      </w:hyperlink>
    </w:p>
    <w:p>
      <w:r>
        <w:t>Las imágenes están incrustadas en el Word. Sus enlaces usan revisiones fijas para conservar la trazabilidad aunque cambien las ramas:</w:t>
      </w:r>
    </w:p>
    <w:p>
      <w:pPr>
        <w:pStyle w:val="Caption"/>
      </w:pPr>
      <w:r>
        <w:t>firmware: fb7fbcd93b152116c8e439c5eb590c5ad49056e5</w:t>
      </w:r>
    </w:p>
    <w:p>
      <w:pPr>
        <w:pStyle w:val="Caption"/>
      </w:pPr>
      <w:r>
        <w:t>backend: 2b681a7d89d3c0444f42ddccf65b8e5c83d2448e</w:t>
      </w:r>
    </w:p>
    <w:p>
      <w:pPr>
        <w:pStyle w:val="Caption"/>
      </w:pPr>
      <w:r>
        <w:t>gestion: f9de6dd3b3de6355bc97406a3688eb7a35c9265e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Sprint 2 · 16/10/2026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5758B"/>
        <w:sz w:val="16"/>
      </w:rPr>
      <w:t>MONITOREO IoT  |  GRUPO 22  |  INFORME DE AVANCE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0546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lfredoronald/monitoreo-IoT/issues/72" TargetMode="External"/><Relationship Id="rId12" Type="http://schemas.openxmlformats.org/officeDocument/2006/relationships/hyperlink" Target="https://github.com/alfredoronald/monitoreo-IoT/issues/71" TargetMode="External"/><Relationship Id="rId13" Type="http://schemas.openxmlformats.org/officeDocument/2006/relationships/hyperlink" Target="https://github.com/alfredoronald/monitoreo-IoT/issues/68" TargetMode="External"/><Relationship Id="rId14" Type="http://schemas.openxmlformats.org/officeDocument/2006/relationships/hyperlink" Target="https://github.com/alfredoronald/monitoreo-IoT/issues/69" TargetMode="External"/><Relationship Id="rId15" Type="http://schemas.openxmlformats.org/officeDocument/2006/relationships/hyperlink" Target="https://github.com/alfredoronald/monitoreo-IoT/issues/70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github.com/alfredoronald/monitoreo-IoT/blob/fb7fbcd93b152116c8e439c5eb590c5ad49056e5/docs/evidencias/t1-4/monitor-lecturas-valida.png" TargetMode="External"/><Relationship Id="rId18" Type="http://schemas.openxmlformats.org/officeDocument/2006/relationships/image" Target="media/image2.png"/><Relationship Id="rId19" Type="http://schemas.openxmlformats.org/officeDocument/2006/relationships/hyperlink" Target="https://github.com/alfredoronald/monitoreo-IoT/blob/fb7fbcd93b152116c8e439c5eb590c5ad49056e5/docs/evidencias/t1-8/recepcion-10-minutos.png" TargetMode="External"/><Relationship Id="rId20" Type="http://schemas.openxmlformats.org/officeDocument/2006/relationships/hyperlink" Target="https://github.com/alfredoronald/monitoreo-IoT/blob/fb7fbcd93b152116c8e439c5eb590c5ad49056e5/docs/evidencias/t1-8/README.md" TargetMode="External"/><Relationship Id="rId21" Type="http://schemas.openxmlformats.org/officeDocument/2006/relationships/image" Target="media/image3.png"/><Relationship Id="rId22" Type="http://schemas.openxmlformats.org/officeDocument/2006/relationships/hyperlink" Target="https://github.com/alfredoronald/monitoreo-IoT/blob/2b681a7d89d3c0444f42ddccf65b8e5c83d2448e/docs/evidencias/captura-broker-activo-t2-1.png" TargetMode="External"/><Relationship Id="rId23" Type="http://schemas.openxmlformats.org/officeDocument/2006/relationships/image" Target="media/image4.png"/><Relationship Id="rId24" Type="http://schemas.openxmlformats.org/officeDocument/2006/relationships/hyperlink" Target="https://github.com/alfredoronald/monitoreo-IoT/blob/2b681a7d89d3c0444f42ddccf65b8e5c83d2448e/docs/evidencias/validacion-mensajes-20.png" TargetMode="External"/><Relationship Id="rId25" Type="http://schemas.openxmlformats.org/officeDocument/2006/relationships/hyperlink" Target="https://github.com/alfredoronald/monitoreo-IoT/blob/2b681a7d89d3c0444f42ddccf65b8e5c83d2448e/docs/evidencias/validacion-mensajes-20.md" TargetMode="External"/><Relationship Id="rId26" Type="http://schemas.openxmlformats.org/officeDocument/2006/relationships/hyperlink" Target="https://github.com/alfredoronald/monitoreo-IoT/issues/22" TargetMode="External"/><Relationship Id="rId27" Type="http://schemas.openxmlformats.org/officeDocument/2006/relationships/image" Target="media/image5.png"/><Relationship Id="rId28" Type="http://schemas.openxmlformats.org/officeDocument/2006/relationships/hyperlink" Target="https://github.com/alfredoronald/monitoreo-IoT/blob/2b681a7d89d3c0444f42ddccf65b8e5c83d2448e/docs/evidencias/conteo-lecturas-29.png" TargetMode="External"/><Relationship Id="rId29" Type="http://schemas.openxmlformats.org/officeDocument/2006/relationships/image" Target="media/image6.png"/><Relationship Id="rId30" Type="http://schemas.openxmlformats.org/officeDocument/2006/relationships/hyperlink" Target="https://github.com/alfredoronald/monitoreo-IoT/blob/2b681a7d89d3c0444f42ddccf65b8e5c83d2448e/docs/evidencias/ultimas-lecturas-29.png" TargetMode="External"/><Relationship Id="rId31" Type="http://schemas.openxmlformats.org/officeDocument/2006/relationships/hyperlink" Target="https://github.com/alfredoronald/monitoreo-IoT/blob/2b681a7d89d3c0444f42ddccf65b8e5c83d2448e/docs/evidencias/verificacion-historico-29.md" TargetMode="External"/><Relationship Id="rId32" Type="http://schemas.openxmlformats.org/officeDocument/2006/relationships/image" Target="media/image7.png"/><Relationship Id="rId33" Type="http://schemas.openxmlformats.org/officeDocument/2006/relationships/hyperlink" Target="https://github.com/alfredoronald/monitoreo-IoT/blob/f9de6dd3b3de6355bc97406a3688eb7a35c9265e/docs/evidencias/t4-1/prueba-5min/inicio.png" TargetMode="External"/><Relationship Id="rId34" Type="http://schemas.openxmlformats.org/officeDocument/2006/relationships/image" Target="media/image8.png"/><Relationship Id="rId35" Type="http://schemas.openxmlformats.org/officeDocument/2006/relationships/hyperlink" Target="https://github.com/alfredoronald/monitoreo-IoT/blob/f9de6dd3b3de6355bc97406a3688eb7a35c9265e/docs/evidencias/t4-1/prueba-5min/intermedio.png" TargetMode="External"/><Relationship Id="rId36" Type="http://schemas.openxmlformats.org/officeDocument/2006/relationships/image" Target="media/image9.png"/><Relationship Id="rId37" Type="http://schemas.openxmlformats.org/officeDocument/2006/relationships/hyperlink" Target="https://github.com/alfredoronald/monitoreo-IoT/blob/f9de6dd3b3de6355bc97406a3688eb7a35c9265e/docs/evidencias/t4-1/prueba-5min/final.png" TargetMode="External"/><Relationship Id="rId38" Type="http://schemas.openxmlformats.org/officeDocument/2006/relationships/hyperlink" Target="https://github.com/alfredoronald/monitoreo-IoT/blob/f9de6dd3b3de6355bc97406a3688eb7a35c9265e/docs/evidencias/t4-1/prueba-5min/comparacion.png" TargetMode="External"/><Relationship Id="rId39" Type="http://schemas.openxmlformats.org/officeDocument/2006/relationships/hyperlink" Target="https://github.com/alfredoronald/monitoreo-IoT/blob/f9de6dd3b3de6355bc97406a3688eb7a35c9265e/docs/evidencias/t4-1/prueba-5min/informe.md" TargetMode="External"/><Relationship Id="rId40" Type="http://schemas.openxmlformats.org/officeDocument/2006/relationships/hyperlink" Target="https://github.com/alfredoronald/monitoreo-IoT/blob/f9de6dd3b3de6355bc97406a3688eb7a35c9265e/docs/evidencias/t4-1/prueba-5min/registros.zip" TargetMode="External"/><Relationship Id="rId41" Type="http://schemas.openxmlformats.org/officeDocument/2006/relationships/hyperlink" Target="https://github.com/alfredoronald/monitoreo-IoT/issues/67" TargetMode="External"/><Relationship Id="rId42" Type="http://schemas.openxmlformats.org/officeDocument/2006/relationships/hyperlink" Target="https://github.com/alfredoronald/monitoreo-IoT/issues/32" TargetMode="External"/><Relationship Id="rId43" Type="http://schemas.openxmlformats.org/officeDocument/2006/relationships/hyperlink" Target="https://github.com/alfredoronald/monitoreo-IoT/issues/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Monitoreo IoT — Informe de avance del Sprint 2</dc:title>
  <dc:subject>Issue #72: tabla de avance y evidencias del Sprint 1</dc:subject>
  <dc:creator>Alfredo (@alfredoronald) · Grupo 22</dc:creator>
  <cp:keywords>Sprint 2, HU-04, HU-05, HU-06, evidencias, issue 72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