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4"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HexaStock_Hexagonal_Diagram_Code_Dependencies.png</w:t>
      </w:r>
      <w:r>
        <w:t xml:space="preserve"> </w:t>
      </w:r>
      <w:r>
        <w:t xml:space="preserve">i la seva còpia d’assets per a la presentació</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conceptual és la diapositiva</w:t>
      </w:r>
      <w:r>
        <w:t xml:space="preserve"> </w:t>
      </w:r>
      <w:r>
        <w:rPr>
          <w:rStyle w:val="VerbatimChar"/>
        </w:rPr>
        <w:t xml:space="preserve">Idea clau i tancament</w:t>
      </w:r>
      <w:r>
        <w:t xml:space="preserve"> </w:t>
      </w:r>
      <w:r>
        <w:t xml:space="preserve">i el tancament protocol·lari és la diapositiva</w:t>
      </w:r>
      <w:r>
        <w:t xml:space="preserve"> </w:t>
      </w:r>
      <w:r>
        <w:rPr>
          <w:rStyle w:val="VerbatimChar"/>
        </w:rPr>
        <w:t xml:space="preserve">Agraïment</w:t>
      </w:r>
      <w:r>
        <w:t xml:space="preserve">.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d’assaig del cos principal: aproximadament 16:20-17:45, sense demo en viu. La lectura neta del text queda al voltant de 12:00-13:00 segons el ritme; la validació definitiva s’ha de fer amb assaig oral real.</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serveis externs.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 molt enriquidor plantejar aquesta sessió com una trobada entre dos mons.</w:t>
      </w:r>
    </w:p>
    <w:p>
      <w:pPr>
        <w:pStyle w:val="BodyText"/>
      </w:pPr>
      <w:r>
        <w:t xml:space="preserve">D’una banda, l’acadèmic: l’assignatura de Disseny de Sistemes d’Informació, on treballem conceptes com arquitectura hexagonal, ports, adaptadors i inversió de dependències.</w:t>
      </w:r>
    </w:p>
    <w:p>
      <w:pPr>
        <w:pStyle w:val="BodyText"/>
      </w:pPr>
      <w:r>
        <w:t xml:space="preserve">I de l’altra, el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treballa una visió global d’arquitectures de sistemes d’informació: arquitectures per capes, Clean Architecture, arquitectura hexagonal, ports i adaptadors, mapping, modularització i Domain-Driven Design. [to calmat, explicatiu]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específica. [mirar el tribunal]</w:t>
      </w:r>
    </w:p>
    <w:p>
      <w:pPr>
        <w:pStyle w:val="BodyText"/>
      </w:pPr>
      <w:r>
        <w:t xml:space="preserve">La sessió d’avui s’organitza al voltant de tres decisions de disseny: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ff6211f156de8e2b07dce7ebbf9d377121e521b"/>
    <w:p>
      <w:pPr>
        <w:pStyle w:val="Heading3"/>
      </w:pPr>
      <w:r>
        <w:t xml:space="preserve">Diapositiva 5. Quina informació externa necessita el procediment? - 1:45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Les fonts administratives poden ser organismes com l’AEAT o el Cadastre. PICA, en canvi, no és una font material del mateix tipus: és un canal o plataforma corporativa d’interoperabilitat. [assenyalar la separació visual]</w:t>
      </w:r>
    </w:p>
    <w:p>
      <w:pPr>
        <w:pStyle w:val="BodyText"/>
      </w:pPr>
      <w:r>
        <w:t xml:space="preserve">PICA és la Plataforma d’Integració i Col·laboració Administrativa de la Generalitat de Catalunya. A efectes docents, el que ens interessa és que actua com a mecanisme corporatiu per consultar o intercanviar informació entre administracions.</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d'un ciutadà</w:t>
      </w:r>
      <w:r>
        <w:t xml:space="preserve">. Encara no estem decidint si aquesta informació arribarà a través de PICA, d’un servei SOAP, d’una API REST, d’una base de dades corporativa o d’un altre mecanisme.</w:t>
      </w:r>
    </w:p>
    <w:p>
      <w:pPr>
        <w:pStyle w:val="BodyText"/>
      </w:pPr>
      <w:r>
        <w:t xml:space="preserve">Quan aquesta separació no es respecta, apareix el problema arquitectònic que veurem ara.</w:t>
      </w:r>
    </w:p>
    <w:bookmarkEnd w:id="13"/>
    <w:bookmarkStart w:id="14" w:name="Xef277339b9bbac09350e539c95ba9caf6c86f97"/>
    <w:p>
      <w:pPr>
        <w:pStyle w:val="Heading3"/>
      </w:pPr>
      <w:r>
        <w:t xml:space="preserve">Diapositiva 6. Dependència directa entre procediment i integració - 1:55</w:t>
      </w:r>
    </w:p>
    <w:p>
      <w:pPr>
        <w:pStyle w:val="FirstParagraph"/>
      </w:pPr>
      <w:r>
        <w:t xml:space="preserve">Imaginem una situació en què el cas d’ús queda vinculat directament a la cadena tècnica: SOAP/XML, PICA i serveis externs diferenciats com l’AEAT o el Cadastre. Això no és la solució proposada; és el problema que volem corregir.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o si el mecanisme d’integració es transforma, el canvi pot impactar codi que hauria d’estar expressant criteris del procediment.</w:t>
      </w:r>
    </w:p>
    <w:p>
      <w:pPr>
        <w:pStyle w:val="BodyText"/>
      </w:pPr>
      <w:r>
        <w:t xml:space="preserve">Des del punt de vista de l’enginyeria del software, això incrementa tres riscos. Primer, acoblament tecnològic: el cas d’ús coneix massa detalls externs. Segon, manteniment més fràgil: canvis d’infraestructura obliguen a revisar lògica d’aplicació. I tercer, més superfície d’impacte davant de canvis externs.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Conceptualment, el port és un contracte; en aquesta implementació Java, el representem amb una interfície.</w:t>
      </w:r>
      <w:r>
        <w:t xml:space="preserve"> </w:t>
      </w:r>
      <w:r>
        <w:t xml:space="preserve">[assenyalar el requadre «Concreció en Java»: la targeta superior és la interfície, el contracte]</w:t>
      </w:r>
    </w:p>
    <w:p>
      <w:pPr>
        <w:pStyle w:val="BodyText"/>
      </w:pPr>
      <w:r>
        <w:t xml:space="preserve">És a dir, el cas d’ús no depèn directament d’una base de dades, d’una API externa o d’un client concret. El cas d’ús depèn d’una interfície que defineix què necessita: per exemple, obtenir una determinada informació econòmica,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r>
        <w:t xml:space="preserve"> </w:t>
      </w:r>
      <w:r>
        <w:t xml:space="preserve">[assenyalar la fletxa discontínua «implements», de l’adaptador cap a la interfície]</w:t>
      </w:r>
    </w:p>
    <w:p>
      <w:pPr>
        <w:pStyle w:val="BodyText"/>
      </w:pPr>
      <w:r>
        <w:t xml:space="preserve">Això ens ajuda a entendre el valor arquitectònic de la interfície en aquest context.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3bf5d2bd196b04e61c9020dfe27fee6ad69815"/>
    <w:p>
      <w:pPr>
        <w:pStyle w:val="Heading3"/>
      </w:pPr>
      <w:r>
        <w:t xml:space="preserve">Diapositiva 8. Port de sortida per a informació patrimonial - 1:45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de sortida que representen necessitats de l’aplicació. Fora del nucli hi ha adaptadors que resolen persistència, interoperabilitat amb PICA o altres mecanismes concrets.</w:t>
      </w:r>
    </w:p>
    <w:p>
      <w:pPr>
        <w:pStyle w:val="BodyText"/>
      </w:pPr>
      <w:r>
        <w:t xml:space="preserve">El punt tècnic més important és que l’adaptador de PICA o l’adaptador JDBC no són el centre de l’arquitectura. Són detalls externs que poden evolucionar. El que volem mantenir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al domini financer: una aplicació de gestió d’una cartera d’inversió personal.</w:t>
      </w:r>
    </w:p>
    <w:bookmarkEnd w:id="16"/>
    <w:bookmarkStart w:id="17" w:name="X622b1aabebf27347556ce6d9dffa831cb77da68"/>
    <w:p>
      <w:pPr>
        <w:pStyle w:val="Heading3"/>
      </w:pPr>
      <w:r>
        <w:t xml:space="preserve">Diapositiva 9. Transferència al domini financer - 1:25</w:t>
      </w:r>
    </w:p>
    <w:p>
      <w:pPr>
        <w:pStyle w:val="FirstParagraph"/>
      </w:pPr>
      <w:r>
        <w:t xml:space="preserve">Ara transferim la mateixa decisió arquitectònica a un domini diferent: una aplicació de gestió d’una cartera d’inversió.</w:t>
      </w:r>
    </w:p>
    <w:p>
      <w:pPr>
        <w:pStyle w:val="BodyText"/>
      </w:pPr>
      <w:r>
        <w:t xml:space="preserve">El cas d’ús de venda d’accions necessita conèixer el preu actual, però no necessita saber quin proveïdor de dades utilitzem, quina API concreta consultem ni quin format retorna. Aquesta necessitat s’expressa mitjançant</w:t>
      </w:r>
      <w:r>
        <w:t xml:space="preserve"> </w:t>
      </w:r>
      <w:r>
        <w:rPr>
          <w:rStyle w:val="VerbatimChar"/>
        </w:rPr>
        <w:t xml:space="preserve">StockPriceProviderPort</w:t>
      </w:r>
      <w:r>
        <w:t xml:space="preserve">.</w:t>
      </w:r>
    </w:p>
    <w:p>
      <w:pPr>
        <w:pStyle w:val="BodyText"/>
      </w:pPr>
      <w:r>
        <w:t xml:space="preserve">Els adaptadors de Finnhub, Alpha Vantage o un adaptador mock implementen aquest mateix contracte i encapsulen els detalls de cada integració.</w:t>
      </w:r>
    </w:p>
    <w:p>
      <w:pPr>
        <w:pStyle w:val="BodyText"/>
      </w:pPr>
      <w:r>
        <w:t xml:space="preserve">En aquesta implementació, el servei d’aplicació coordina la consulta del preu i la recuperació de la cartera, mentre que la decisió de venda es manté dins del domini. El servei coordina, el domini decideix i l’adaptador integra.</w:t>
      </w:r>
    </w:p>
    <w:p>
      <w:pPr>
        <w:pStyle w:val="BodyText"/>
      </w:pPr>
      <w:r>
        <w:t xml:space="preserve">Canvia el domini, però es manté la decisió arquitectònica: primer identifiquem la necessitat funcional, després definim el port i finalment resolem la integració. [pausa breu]</w:t>
      </w:r>
    </w:p>
    <w:p>
      <w:pPr>
        <w:pStyle w:val="BodyText"/>
      </w:pPr>
      <w:r>
        <w:t xml:space="preserve">La substitució és viable mentre es mantinguin el contracte funcional i la semàntica que necessita l’aplicació.</w:t>
      </w:r>
    </w:p>
    <w:p>
      <w:pPr>
        <w:pStyle w:val="BodyText"/>
      </w:pPr>
      <w:r>
        <w:t xml:space="preserve">Amb això podem tancar la classe recuperant les tres decisions essencials.</w:t>
      </w:r>
    </w:p>
    <w:bookmarkEnd w:id="17"/>
    <w:bookmarkStart w:id="18" w:name="X8617ba821f47f0e5854955ab559cd49c5832102"/>
    <w:p>
      <w:pPr>
        <w:pStyle w:val="Heading3"/>
      </w:pPr>
      <w:r>
        <w:t xml:space="preserve">Diapositiva 10. Idea clau i tancament - 0:45</w:t>
      </w:r>
    </w:p>
    <w:p>
      <w:pPr>
        <w:pStyle w:val="FirstParagraph"/>
      </w:pPr>
      <w:r>
        <w:t xml:space="preserve">Per tancar el contingut tècnic, voldria recuperar les tres decisions que hem treballat.</w:t>
      </w:r>
    </w:p>
    <w:p>
      <w:pPr>
        <w:pStyle w:val="BodyText"/>
      </w:pPr>
      <w:r>
        <w:t xml:space="preserve">Primer, el cas d’ús expressa una necessitat funcional, no una tecnologia concreta. Segon, el port defineix el contracte que necessita l’aplicació. I tercer, l’adaptador encapsula la integració amb el sistema extern.</w:t>
      </w:r>
    </w:p>
    <w:p>
      <w:pPr>
        <w:pStyle w:val="BodyText"/>
      </w:pPr>
      <w:r>
        <w:t xml:space="preserve">L’arquitectura hexagonal no elimina la dependència del món exterior ni evita tots els canvis. El que ens permet és situar aquesta dependència en una frontera explícita i localitzar millor l’impacte de l’evolució tecnològica.</w:t>
      </w:r>
    </w:p>
    <w:p>
      <w:pPr>
        <w:pStyle w:val="BodyText"/>
      </w:pPr>
      <w:r>
        <w:t xml:space="preserve">Dit de manera sintètica: l’arquitectura no elimina el canvi; el localitza.</w:t>
      </w:r>
    </w:p>
    <w:bookmarkEnd w:id="18"/>
    <w:bookmarkStart w:id="19" w:name="diapositiva-11.-agraïment---025"/>
    <w:p>
      <w:pPr>
        <w:pStyle w:val="Heading3"/>
      </w:pPr>
      <w:r>
        <w:t xml:space="preserve">Diapositiva 11. Agraïment - 0:25</w:t>
      </w:r>
    </w:p>
    <w:p>
      <w:pPr>
        <w:pStyle w:val="FirstParagraph"/>
      </w:pPr>
      <w:r>
        <w:t xml:space="preserve">Vull expressar el meu agraïment al TecnoCampus per un entorn que m’encoratja a créixer, al costat d’un equip del qual aprenc i amb qui comparteixo coneixement, responsabilitat i compromís amb la formació universitària.</w:t>
      </w:r>
    </w:p>
    <w:p>
      <w:pPr>
        <w:pStyle w:val="BodyText"/>
      </w:pPr>
      <w:r>
        <w:t xml:space="preserve">[pausa natural]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tres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el món acadèmic i el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 Architecture i arquitectura hexagonal, ports i adaptadors, mapping, modularització i Domain-Driven Design.</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45"/>
    <w:p>
      <w:pPr>
        <w:pStyle w:val="Heading3"/>
      </w:pPr>
      <w:r>
        <w:t xml:space="preserve">5. Informació externa - 1:45</w:t>
      </w:r>
    </w:p>
    <w:p>
      <w:pPr>
        <w:pStyle w:val="Compact"/>
        <w:numPr>
          <w:ilvl w:val="0"/>
          <w:numId w:val="1006"/>
        </w:numPr>
      </w:pPr>
      <w:r>
        <w:t xml:space="preserve">Necessitats: renda, patrimoni, béns immobles.</w:t>
      </w:r>
    </w:p>
    <w:p>
      <w:pPr>
        <w:pStyle w:val="Compact"/>
        <w:numPr>
          <w:ilvl w:val="0"/>
          <w:numId w:val="1006"/>
        </w:numPr>
      </w:pPr>
      <w:r>
        <w:t xml:space="preserve">Fonts administratives: AEAT i Cadastre.</w:t>
      </w:r>
    </w:p>
    <w:p>
      <w:pPr>
        <w:pStyle w:val="Compact"/>
        <w:numPr>
          <w:ilvl w:val="0"/>
          <w:numId w:val="1006"/>
        </w:numPr>
      </w:pPr>
      <w:r>
        <w:t xml:space="preserve">Canal o plataforma d’interoperabilitat: PICA.</w:t>
      </w:r>
    </w:p>
    <w:p>
      <w:pPr>
        <w:pStyle w:val="Compact"/>
        <w:numPr>
          <w:ilvl w:val="0"/>
          <w:numId w:val="1006"/>
        </w:numPr>
      </w:pPr>
      <w:r>
        <w:t xml:space="preserve">No presentar PICA com a font original del mateix tipus.</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155"/>
    <w:p>
      <w:pPr>
        <w:pStyle w:val="Heading3"/>
      </w:pPr>
      <w:r>
        <w:t xml:space="preserve">6. Dependència directa - 1:55</w:t>
      </w:r>
    </w:p>
    <w:p>
      <w:pPr>
        <w:pStyle w:val="Compact"/>
        <w:numPr>
          <w:ilvl w:val="0"/>
          <w:numId w:val="1007"/>
        </w:numPr>
      </w:pPr>
      <w:r>
        <w:t xml:space="preserve">El problema no és PICA; és l’acoblament directe.</w:t>
      </w:r>
    </w:p>
    <w:p>
      <w:pPr>
        <w:pStyle w:val="Compact"/>
        <w:numPr>
          <w:ilvl w:val="0"/>
          <w:numId w:val="1007"/>
        </w:numPr>
      </w:pPr>
      <w:r>
        <w:t xml:space="preserve">La cadena SOAP/XML -&gt; PICA -&gt; AEAT i/o Cadastre és el problema, no la solució.</w:t>
      </w:r>
    </w:p>
    <w:p>
      <w:pPr>
        <w:pStyle w:val="Compact"/>
        <w:numPr>
          <w:ilvl w:val="0"/>
          <w:numId w:val="1007"/>
        </w:numPr>
      </w:pPr>
      <w:r>
        <w:t xml:space="preserve">Cas d’ús coneix SOAP/XML, DTO,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i més superfície d’impacte davant canvis externs.</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Conceptualment, el port és un contracte; en Java, aquí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45"/>
    <w:p>
      <w:pPr>
        <w:pStyle w:val="Heading3"/>
      </w:pPr>
      <w:r>
        <w:t xml:space="preserve">8. Port patrimonial - 1:45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externs que poden evolucionar.</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25"/>
    <w:p>
      <w:pPr>
        <w:pStyle w:val="Heading3"/>
      </w:pPr>
      <w:r>
        <w:t xml:space="preserve">9. Domini financer - 1:25</w:t>
      </w:r>
    </w:p>
    <w:p>
      <w:pPr>
        <w:pStyle w:val="Compact"/>
        <w:numPr>
          <w:ilvl w:val="0"/>
          <w:numId w:val="1010"/>
        </w:numPr>
      </w:pPr>
      <w:r>
        <w:t xml:space="preserve">Canvi explícit de domini: beca -&gt; cartera d’inversió personal.</w:t>
      </w:r>
    </w:p>
    <w:p>
      <w:pPr>
        <w:pStyle w:val="Compact"/>
        <w:numPr>
          <w:ilvl w:val="0"/>
          <w:numId w:val="1010"/>
        </w:numPr>
      </w:pPr>
      <w:r>
        <w:t xml:space="preserve">Cas d’ús: vendre accions.</w:t>
      </w:r>
    </w:p>
    <w:p>
      <w:pPr>
        <w:pStyle w:val="Compact"/>
        <w:numPr>
          <w:ilvl w:val="0"/>
          <w:numId w:val="1010"/>
        </w:numPr>
      </w:pPr>
      <w:r>
        <w:t xml:space="preserve">Necessitat: preu actual de l’acció.</w:t>
      </w:r>
    </w:p>
    <w:p>
      <w:pPr>
        <w:pStyle w:val="Compact"/>
        <w:numPr>
          <w:ilvl w:val="0"/>
          <w:numId w:val="1010"/>
        </w:numPr>
      </w:pPr>
      <w:r>
        <w:t xml:space="preserve">Port de sortida:</w:t>
      </w:r>
      <w:r>
        <w:t xml:space="preserve"> </w:t>
      </w:r>
      <w:r>
        <w:rPr>
          <w:rStyle w:val="VerbatimChar"/>
        </w:rPr>
        <w:t xml:space="preserve">StockPriceProviderPort</w:t>
      </w:r>
      <w:r>
        <w:t xml:space="preserve">.</w:t>
      </w:r>
    </w:p>
    <w:p>
      <w:pPr>
        <w:pStyle w:val="Compact"/>
        <w:numPr>
          <w:ilvl w:val="0"/>
          <w:numId w:val="1010"/>
        </w:numPr>
      </w:pPr>
      <w:r>
        <w:t xml:space="preserve">Separar proveïdor de dades, API concreta, contracte tècnic i adaptador.</w:t>
      </w:r>
    </w:p>
    <w:p>
      <w:pPr>
        <w:pStyle w:val="Compact"/>
        <w:numPr>
          <w:ilvl w:val="0"/>
          <w:numId w:val="1010"/>
        </w:numPr>
      </w:pPr>
      <w:r>
        <w:t xml:space="preserve">Servei d’aplicació coordina consulta del preu i recuperació de cartera.</w:t>
      </w:r>
    </w:p>
    <w:p>
      <w:pPr>
        <w:pStyle w:val="Compact"/>
        <w:numPr>
          <w:ilvl w:val="0"/>
          <w:numId w:val="1010"/>
        </w:numPr>
      </w:pPr>
      <w:r>
        <w:t xml:space="preserve">Domini decideix; adaptador integra.</w:t>
      </w:r>
    </w:p>
    <w:p>
      <w:pPr>
        <w:pStyle w:val="Compact"/>
        <w:numPr>
          <w:ilvl w:val="0"/>
          <w:numId w:val="1010"/>
        </w:numPr>
      </w:pPr>
      <w:r>
        <w:t xml:space="preserve">Transició: conclusió tècnica.</w:t>
      </w:r>
    </w:p>
    <w:bookmarkEnd w:id="31"/>
    <w:bookmarkStart w:id="32" w:name="idea-clau-i-tancament---045"/>
    <w:p>
      <w:pPr>
        <w:pStyle w:val="Heading3"/>
      </w:pPr>
      <w:r>
        <w:t xml:space="preserve">10. Idea clau i tancament - 0:45</w:t>
      </w:r>
    </w:p>
    <w:p>
      <w:pPr>
        <w:pStyle w:val="Compact"/>
        <w:numPr>
          <w:ilvl w:val="0"/>
          <w:numId w:val="1011"/>
        </w:numPr>
      </w:pPr>
      <w:r>
        <w:t xml:space="preserve">Tres decisions: necessitat funcional, port i adaptador.</w:t>
      </w:r>
    </w:p>
    <w:p>
      <w:pPr>
        <w:pStyle w:val="Compact"/>
        <w:numPr>
          <w:ilvl w:val="0"/>
          <w:numId w:val="1011"/>
        </w:numPr>
      </w:pPr>
      <w:r>
        <w:t xml:space="preserve">El cas d’ús expressa una necessitat funcional.</w:t>
      </w:r>
    </w:p>
    <w:p>
      <w:pPr>
        <w:pStyle w:val="Compact"/>
        <w:numPr>
          <w:ilvl w:val="0"/>
          <w:numId w:val="1011"/>
        </w:numPr>
      </w:pPr>
      <w:r>
        <w:t xml:space="preserve">El port defineix el contracte de l’aplicació.</w:t>
      </w:r>
    </w:p>
    <w:p>
      <w:pPr>
        <w:pStyle w:val="Compact"/>
        <w:numPr>
          <w:ilvl w:val="0"/>
          <w:numId w:val="1011"/>
        </w:numPr>
      </w:pPr>
      <w:r>
        <w:t xml:space="preserve">L’adaptador encapsula la integració externa.</w:t>
      </w:r>
    </w:p>
    <w:p>
      <w:pPr>
        <w:pStyle w:val="Compact"/>
        <w:numPr>
          <w:ilvl w:val="0"/>
          <w:numId w:val="1011"/>
        </w:numPr>
      </w:pPr>
      <w:r>
        <w:t xml:space="preserve">Frase clau amb màxima jerarquia visual: l’arquitectura no elimina el canvi; el localitza.</w:t>
      </w:r>
    </w:p>
    <w:p>
      <w:pPr>
        <w:pStyle w:val="Compact"/>
        <w:numPr>
          <w:ilvl w:val="0"/>
          <w:numId w:val="1011"/>
        </w:numPr>
      </w:pPr>
      <w:r>
        <w:t xml:space="preserve">Cap agraïment en aquesta diapositiva: donar pas a la diapositiva 11.</w:t>
      </w:r>
    </w:p>
    <w:bookmarkEnd w:id="32"/>
    <w:bookmarkStart w:id="33" w:name="agraïment---025"/>
    <w:p>
      <w:pPr>
        <w:pStyle w:val="Heading3"/>
      </w:pPr>
      <w:r>
        <w:t xml:space="preserve">11. Agraïment - 0:25</w:t>
      </w:r>
    </w:p>
    <w:p>
      <w:pPr>
        <w:pStyle w:val="Compact"/>
        <w:numPr>
          <w:ilvl w:val="0"/>
          <w:numId w:val="1012"/>
        </w:numPr>
      </w:pPr>
      <w:r>
        <w:t xml:space="preserve">Frase d’agraïment literal: no resumir-la ni canviar cap paraula.</w:t>
      </w:r>
    </w:p>
    <w:p>
      <w:pPr>
        <w:pStyle w:val="Compact"/>
        <w:numPr>
          <w:ilvl w:val="0"/>
          <w:numId w:val="1012"/>
        </w:numPr>
      </w:pPr>
      <w:r>
        <w:t xml:space="preserve">Cap nom de persona i cap altre agraïment.</w:t>
      </w:r>
    </w:p>
    <w:p>
      <w:pPr>
        <w:pStyle w:val="Compact"/>
        <w:numPr>
          <w:ilvl w:val="0"/>
          <w:numId w:val="1012"/>
        </w:numPr>
      </w:pPr>
      <w:r>
        <w:t xml:space="preserve">Pausa natural abans de</w:t>
      </w:r>
      <w:r>
        <w:t xml:space="preserve"> </w:t>
      </w:r>
      <w:r>
        <w:rPr>
          <w:rStyle w:val="VerbatimChar"/>
        </w:rPr>
        <w:t xml:space="preserve">Moltes gràcies</w:t>
      </w:r>
      <w:r>
        <w:t xml:space="preserv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Després de</w:t>
      </w:r>
      <w:r>
        <w:t xml:space="preserve"> </w:t>
      </w:r>
      <w:r>
        <w:rPr>
          <w:rStyle w:val="VerbatimChar"/>
        </w:rPr>
        <w:t xml:space="preserve">Moltes gràcies</w:t>
      </w:r>
      <w:r>
        <w:t xml:space="preserve">, la classe queda formalment tancada.</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 Architecture,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Fonts administratives i interoperabilitat</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Contracte, interfície,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Conclusió</w:t>
            </w:r>
          </w:p>
        </w:tc>
      </w:tr>
      <w:tr>
        <w:tc>
          <w:tcPr/>
          <w:p>
            <w:pPr>
              <w:pStyle w:val="Compact"/>
            </w:pPr>
            <w:r>
              <w:t xml:space="preserve">10</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Domini financer</w:t>
            </w:r>
          </w:p>
        </w:tc>
        <w:tc>
          <w:tcPr/>
          <w:p>
            <w:pPr>
              <w:pStyle w:val="Compact"/>
            </w:pPr>
            <w:r>
              <w:t xml:space="preserve">Agraïment</w:t>
            </w:r>
          </w:p>
        </w:tc>
      </w:tr>
      <w:tr>
        <w:tc>
          <w:tcPr/>
          <w:p>
            <w:pPr>
              <w:pStyle w:val="Compact"/>
            </w:pPr>
            <w:r>
              <w:t xml:space="preserve">11</w:t>
            </w:r>
          </w:p>
        </w:tc>
        <w:tc>
          <w:tcPr/>
          <w:p>
            <w:pPr>
              <w:pStyle w:val="Compact"/>
            </w:pPr>
            <w:r>
              <w:t xml:space="preserve">Agraïment institucional i tancament formal</w:t>
            </w:r>
          </w:p>
        </w:tc>
        <w:tc>
          <w:tcPr/>
          <w:p>
            <w:pPr>
              <w:pStyle w:val="Compact"/>
            </w:pPr>
            <w:r>
              <w:t xml:space="preserve">Cap contingut tècnic nou</w:t>
            </w:r>
          </w:p>
        </w:tc>
        <w:tc>
          <w:tcPr/>
          <w:p>
            <w:pPr>
              <w:pStyle w:val="Compact"/>
            </w:pPr>
            <w:r>
              <w:t xml:space="preserve">Idea clau</w:t>
            </w:r>
          </w:p>
        </w:tc>
        <w:tc>
          <w:tcPr/>
          <w:p>
            <w:pPr>
              <w:pStyle w:val="Compact"/>
            </w:pPr>
            <w:r>
              <w:t xml:space="preserve">Preguntes / annex si escau</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-&gt; procediment -&gt; informació externa -&gt; acoblament -&gt; port -&gt; cas patrimonial -&gt; domini financer -&gt; conclusió -&gt; agraïment</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37" w:name="taula-temporal-actualitzada"/>
    <w:p>
      <w:pPr>
        <w:pStyle w:val="Heading2"/>
      </w:pPr>
      <w:r>
        <w:t xml:space="preserve">4. Taula temporal actualitzada</w:t>
      </w:r>
    </w:p>
    <w:p>
      <w:pPr>
        <w:pStyle w:val="FirstParagraph"/>
      </w:pPr>
      <w:r>
        <w:t xml:space="preserve">La taula següent calcula només el cos principal. No inclou la demo opcional. Les estimacions de 125, 130 i 135 paraules per minut corresponen a lectura neta del text; en assaig real cal afegir pauses, respiració, mirada al tribunal, canvi de diapositiva i assenyalament dels elements visuals.</w:t>
      </w:r>
    </w:p>
    <w:tbl>
      <w:tblPr>
        <w:tblStyle w:val="Table"/>
        <w:tblW w:type="pct" w:w="5000"/>
        <w:tblLayout w:type="fixed"/>
        <w:tblLook w:firstRow="1" w:lastRow="0" w:firstColumn="0" w:lastColumn="0" w:noHBand="0" w:noVBand="0" w:val="0020"/>
      </w:tblPr>
      <w:tblGrid>
        <w:gridCol w:w="1405"/>
        <w:gridCol w:w="510"/>
        <w:gridCol w:w="1021"/>
        <w:gridCol w:w="894"/>
        <w:gridCol w:w="894"/>
        <w:gridCol w:w="894"/>
        <w:gridCol w:w="2299"/>
      </w:tblGrid>
      <w:tr>
        <w:trPr>
          <w:tblHeader w:val="on"/>
        </w:trPr>
        <w:tc>
          <w:tcPr/>
          <w:p>
            <w:pPr>
              <w:pStyle w:val="Compact"/>
            </w:pPr>
            <w:r>
              <w:t xml:space="preserve">Diapositiva</w:t>
            </w:r>
          </w:p>
        </w:tc>
        <w:tc>
          <w:tcPr/>
          <w:p>
            <w:pPr>
              <w:pStyle w:val="Compact"/>
            </w:pPr>
            <w:r>
              <w:t xml:space="preserve">Bloc</w:t>
            </w:r>
          </w:p>
        </w:tc>
        <w:tc>
          <w:tcPr/>
          <w:p>
            <w:pPr>
              <w:pStyle w:val="Compact"/>
            </w:pPr>
            <w:r>
              <w:t xml:space="preserve">Paraules</w:t>
            </w:r>
          </w:p>
        </w:tc>
        <w:tc>
          <w:tcPr/>
          <w:p>
            <w:pPr>
              <w:pStyle w:val="Compact"/>
            </w:pPr>
            <w:r>
              <w:t xml:space="preserve">125 ppm</w:t>
            </w:r>
          </w:p>
        </w:tc>
        <w:tc>
          <w:tcPr/>
          <w:p>
            <w:pPr>
              <w:pStyle w:val="Compact"/>
            </w:pPr>
            <w:r>
              <w:t xml:space="preserve">130 ppm</w:t>
            </w:r>
          </w:p>
        </w:tc>
        <w:tc>
          <w:tcPr/>
          <w:p>
            <w:pPr>
              <w:pStyle w:val="Compact"/>
            </w:pPr>
            <w:r>
              <w:t xml:space="preserve">135 ppm</w:t>
            </w:r>
          </w:p>
        </w:tc>
        <w:tc>
          <w:tcPr/>
          <w:p>
            <w:pPr>
              <w:pStyle w:val="Compact"/>
            </w:pPr>
            <w:r>
              <w:t xml:space="preserve">Acumulat a 130 ppm</w:t>
            </w:r>
          </w:p>
        </w:tc>
      </w:tr>
      <w:tr>
        <w:tc>
          <w:tcPr/>
          <w:p>
            <w:pPr>
              <w:pStyle w:val="Compact"/>
            </w:pPr>
            <w:r>
              <w:t xml:space="preserve">1</w:t>
            </w:r>
          </w:p>
        </w:tc>
        <w:tc>
          <w:tcPr/>
          <w:p>
            <w:pPr>
              <w:pStyle w:val="Compact"/>
            </w:pPr>
            <w:r>
              <w:t xml:space="preserve">Portada</w:t>
            </w:r>
          </w:p>
        </w:tc>
        <w:tc>
          <w:tcPr/>
          <w:p>
            <w:pPr>
              <w:pStyle w:val="Compact"/>
            </w:pPr>
            <w:r>
              <w:t xml:space="preserve">177</w:t>
            </w:r>
          </w:p>
        </w:tc>
        <w:tc>
          <w:tcPr/>
          <w:p>
            <w:pPr>
              <w:pStyle w:val="Compact"/>
            </w:pPr>
            <w:r>
              <w:t xml:space="preserve">1:25</w:t>
            </w:r>
          </w:p>
        </w:tc>
        <w:tc>
          <w:tcPr/>
          <w:p>
            <w:pPr>
              <w:pStyle w:val="Compact"/>
            </w:pPr>
            <w:r>
              <w:t xml:space="preserve">1:22</w:t>
            </w:r>
          </w:p>
        </w:tc>
        <w:tc>
          <w:tcPr/>
          <w:p>
            <w:pPr>
              <w:pStyle w:val="Compact"/>
            </w:pPr>
            <w:r>
              <w:t xml:space="preserve">1:19</w:t>
            </w:r>
          </w:p>
        </w:tc>
        <w:tc>
          <w:tcPr/>
          <w:p>
            <w:pPr>
              <w:pStyle w:val="Compact"/>
            </w:pPr>
            <w:r>
              <w:t xml:space="preserve">1:22</w:t>
            </w:r>
          </w:p>
        </w:tc>
      </w:tr>
      <w:tr>
        <w:tc>
          <w:tcPr/>
          <w:p>
            <w:pPr>
              <w:pStyle w:val="Compact"/>
            </w:pPr>
            <w:r>
              <w:t xml:space="preserve">2</w:t>
            </w:r>
          </w:p>
        </w:tc>
        <w:tc>
          <w:tcPr/>
          <w:p>
            <w:pPr>
              <w:pStyle w:val="Compact"/>
            </w:pPr>
            <w:r>
              <w:t xml:space="preserve">On som dins l’assignatura</w:t>
            </w:r>
          </w:p>
        </w:tc>
        <w:tc>
          <w:tcPr/>
          <w:p>
            <w:pPr>
              <w:pStyle w:val="Compact"/>
            </w:pPr>
            <w:r>
              <w:t xml:space="preserve">45</w:t>
            </w:r>
          </w:p>
        </w:tc>
        <w:tc>
          <w:tcPr/>
          <w:p>
            <w:pPr>
              <w:pStyle w:val="Compact"/>
            </w:pPr>
            <w:r>
              <w:t xml:space="preserve">0:22</w:t>
            </w:r>
          </w:p>
        </w:tc>
        <w:tc>
          <w:tcPr/>
          <w:p>
            <w:pPr>
              <w:pStyle w:val="Compact"/>
            </w:pPr>
            <w:r>
              <w:t xml:space="preserve">0:21</w:t>
            </w:r>
          </w:p>
        </w:tc>
        <w:tc>
          <w:tcPr/>
          <w:p>
            <w:pPr>
              <w:pStyle w:val="Compact"/>
            </w:pPr>
            <w:r>
              <w:t xml:space="preserve">0:20</w:t>
            </w:r>
          </w:p>
        </w:tc>
        <w:tc>
          <w:tcPr/>
          <w:p>
            <w:pPr>
              <w:pStyle w:val="Compact"/>
            </w:pPr>
            <w:r>
              <w:t xml:space="preserve">1:43</w:t>
            </w:r>
          </w:p>
        </w:tc>
      </w:tr>
      <w:tr>
        <w:tc>
          <w:tcPr/>
          <w:p>
            <w:pPr>
              <w:pStyle w:val="Compact"/>
            </w:pPr>
            <w:r>
              <w:t xml:space="preserve">3</w:t>
            </w:r>
          </w:p>
        </w:tc>
        <w:tc>
          <w:tcPr/>
          <w:p>
            <w:pPr>
              <w:pStyle w:val="Compact"/>
            </w:pPr>
            <w:r>
              <w:t xml:space="preserve">Objectiu de la sessió</w:t>
            </w:r>
          </w:p>
        </w:tc>
        <w:tc>
          <w:tcPr/>
          <w:p>
            <w:pPr>
              <w:pStyle w:val="Compact"/>
            </w:pPr>
            <w:r>
              <w:t xml:space="preserve">80</w:t>
            </w:r>
          </w:p>
        </w:tc>
        <w:tc>
          <w:tcPr/>
          <w:p>
            <w:pPr>
              <w:pStyle w:val="Compact"/>
            </w:pPr>
            <w:r>
              <w:t xml:space="preserve">0:38</w:t>
            </w:r>
          </w:p>
        </w:tc>
        <w:tc>
          <w:tcPr/>
          <w:p>
            <w:pPr>
              <w:pStyle w:val="Compact"/>
            </w:pPr>
            <w:r>
              <w:t xml:space="preserve">0:37</w:t>
            </w:r>
          </w:p>
        </w:tc>
        <w:tc>
          <w:tcPr/>
          <w:p>
            <w:pPr>
              <w:pStyle w:val="Compact"/>
            </w:pPr>
            <w:r>
              <w:t xml:space="preserve">0:36</w:t>
            </w:r>
          </w:p>
        </w:tc>
        <w:tc>
          <w:tcPr/>
          <w:p>
            <w:pPr>
              <w:pStyle w:val="Compact"/>
            </w:pPr>
            <w:r>
              <w:t xml:space="preserve">2:20</w:t>
            </w:r>
          </w:p>
        </w:tc>
      </w:tr>
      <w:tr>
        <w:tc>
          <w:tcPr/>
          <w:p>
            <w:pPr>
              <w:pStyle w:val="Compact"/>
            </w:pPr>
            <w:r>
              <w:t xml:space="preserve">4</w:t>
            </w:r>
          </w:p>
        </w:tc>
        <w:tc>
          <w:tcPr/>
          <w:p>
            <w:pPr>
              <w:pStyle w:val="Compact"/>
            </w:pPr>
            <w:r>
              <w:t xml:space="preserve">Avaluació econòmica d’una beca</w:t>
            </w:r>
          </w:p>
        </w:tc>
        <w:tc>
          <w:tcPr/>
          <w:p>
            <w:pPr>
              <w:pStyle w:val="Compact"/>
            </w:pPr>
            <w:r>
              <w:t xml:space="preserve">168</w:t>
            </w:r>
          </w:p>
        </w:tc>
        <w:tc>
          <w:tcPr/>
          <w:p>
            <w:pPr>
              <w:pStyle w:val="Compact"/>
            </w:pPr>
            <w:r>
              <w:t xml:space="preserve">1:21</w:t>
            </w:r>
          </w:p>
        </w:tc>
        <w:tc>
          <w:tcPr/>
          <w:p>
            <w:pPr>
              <w:pStyle w:val="Compact"/>
            </w:pPr>
            <w:r>
              <w:t xml:space="preserve">1:18</w:t>
            </w:r>
          </w:p>
        </w:tc>
        <w:tc>
          <w:tcPr/>
          <w:p>
            <w:pPr>
              <w:pStyle w:val="Compact"/>
            </w:pPr>
            <w:r>
              <w:t xml:space="preserve">1:15</w:t>
            </w:r>
          </w:p>
        </w:tc>
        <w:tc>
          <w:tcPr/>
          <w:p>
            <w:pPr>
              <w:pStyle w:val="Compact"/>
            </w:pPr>
            <w:r>
              <w:t xml:space="preserve">3:38</w:t>
            </w:r>
          </w:p>
        </w:tc>
      </w:tr>
      <w:tr>
        <w:tc>
          <w:tcPr/>
          <w:p>
            <w:pPr>
              <w:pStyle w:val="Compact"/>
            </w:pPr>
            <w:r>
              <w:t xml:space="preserve">5</w:t>
            </w:r>
          </w:p>
        </w:tc>
        <w:tc>
          <w:tcPr/>
          <w:p>
            <w:pPr>
              <w:pStyle w:val="Compact"/>
            </w:pPr>
            <w:r>
              <w:t xml:space="preserve">Informació externa</w:t>
            </w:r>
          </w:p>
        </w:tc>
        <w:tc>
          <w:tcPr/>
          <w:p>
            <w:pPr>
              <w:pStyle w:val="Compact"/>
            </w:pPr>
            <w:r>
              <w:t xml:space="preserve">211</w:t>
            </w:r>
          </w:p>
        </w:tc>
        <w:tc>
          <w:tcPr/>
          <w:p>
            <w:pPr>
              <w:pStyle w:val="Compact"/>
            </w:pPr>
            <w:r>
              <w:t xml:space="preserve">1:41</w:t>
            </w:r>
          </w:p>
        </w:tc>
        <w:tc>
          <w:tcPr/>
          <w:p>
            <w:pPr>
              <w:pStyle w:val="Compact"/>
            </w:pPr>
            <w:r>
              <w:t xml:space="preserve">1:37</w:t>
            </w:r>
          </w:p>
        </w:tc>
        <w:tc>
          <w:tcPr/>
          <w:p>
            <w:pPr>
              <w:pStyle w:val="Compact"/>
            </w:pPr>
            <w:r>
              <w:t xml:space="preserve">1:34</w:t>
            </w:r>
          </w:p>
        </w:tc>
        <w:tc>
          <w:tcPr/>
          <w:p>
            <w:pPr>
              <w:pStyle w:val="Compact"/>
            </w:pPr>
            <w:r>
              <w:t xml:space="preserve">5:15</w:t>
            </w:r>
          </w:p>
        </w:tc>
      </w:tr>
      <w:tr>
        <w:tc>
          <w:tcPr/>
          <w:p>
            <w:pPr>
              <w:pStyle w:val="Compact"/>
            </w:pPr>
            <w:r>
              <w:t xml:space="preserve">6</w:t>
            </w:r>
          </w:p>
        </w:tc>
        <w:tc>
          <w:tcPr/>
          <w:p>
            <w:pPr>
              <w:pStyle w:val="Compact"/>
            </w:pPr>
            <w:r>
              <w:t xml:space="preserve">Dependència directa</w:t>
            </w:r>
          </w:p>
        </w:tc>
        <w:tc>
          <w:tcPr/>
          <w:p>
            <w:pPr>
              <w:pStyle w:val="Compact"/>
            </w:pPr>
            <w:r>
              <w:t xml:space="preserve">204</w:t>
            </w:r>
          </w:p>
        </w:tc>
        <w:tc>
          <w:tcPr/>
          <w:p>
            <w:pPr>
              <w:pStyle w:val="Compact"/>
            </w:pPr>
            <w:r>
              <w:t xml:space="preserve">1:38</w:t>
            </w:r>
          </w:p>
        </w:tc>
        <w:tc>
          <w:tcPr/>
          <w:p>
            <w:pPr>
              <w:pStyle w:val="Compact"/>
            </w:pPr>
            <w:r>
              <w:t xml:space="preserve">1:34</w:t>
            </w:r>
          </w:p>
        </w:tc>
        <w:tc>
          <w:tcPr/>
          <w:p>
            <w:pPr>
              <w:pStyle w:val="Compact"/>
            </w:pPr>
            <w:r>
              <w:t xml:space="preserve">1:31</w:t>
            </w:r>
          </w:p>
        </w:tc>
        <w:tc>
          <w:tcPr/>
          <w:p>
            <w:pPr>
              <w:pStyle w:val="Compact"/>
            </w:pPr>
            <w:r>
              <w:t xml:space="preserve">6:49</w:t>
            </w:r>
          </w:p>
        </w:tc>
      </w:tr>
      <w:tr>
        <w:tc>
          <w:tcPr/>
          <w:p>
            <w:pPr>
              <w:pStyle w:val="Compact"/>
            </w:pPr>
            <w:r>
              <w:t xml:space="preserve">7</w:t>
            </w:r>
          </w:p>
        </w:tc>
        <w:tc>
          <w:tcPr/>
          <w:p>
            <w:pPr>
              <w:pStyle w:val="Compact"/>
            </w:pPr>
            <w:r>
              <w:t xml:space="preserve">Port de sortida i adaptador</w:t>
            </w:r>
          </w:p>
        </w:tc>
        <w:tc>
          <w:tcPr/>
          <w:p>
            <w:pPr>
              <w:pStyle w:val="Compact"/>
            </w:pPr>
            <w:r>
              <w:t xml:space="preserve">263</w:t>
            </w:r>
          </w:p>
        </w:tc>
        <w:tc>
          <w:tcPr/>
          <w:p>
            <w:pPr>
              <w:pStyle w:val="Compact"/>
            </w:pPr>
            <w:r>
              <w:t xml:space="preserve">2:06</w:t>
            </w:r>
          </w:p>
        </w:tc>
        <w:tc>
          <w:tcPr/>
          <w:p>
            <w:pPr>
              <w:pStyle w:val="Compact"/>
            </w:pPr>
            <w:r>
              <w:t xml:space="preserve">2:01</w:t>
            </w:r>
          </w:p>
        </w:tc>
        <w:tc>
          <w:tcPr/>
          <w:p>
            <w:pPr>
              <w:pStyle w:val="Compact"/>
            </w:pPr>
            <w:r>
              <w:t xml:space="preserve">1:57</w:t>
            </w:r>
          </w:p>
        </w:tc>
        <w:tc>
          <w:tcPr/>
          <w:p>
            <w:pPr>
              <w:pStyle w:val="Compact"/>
            </w:pPr>
            <w:r>
              <w:t xml:space="preserve">8:50</w:t>
            </w:r>
          </w:p>
        </w:tc>
      </w:tr>
      <w:tr>
        <w:tc>
          <w:tcPr/>
          <w:p>
            <w:pPr>
              <w:pStyle w:val="Compact"/>
            </w:pPr>
            <w:r>
              <w:t xml:space="preserve">8</w:t>
            </w:r>
          </w:p>
        </w:tc>
        <w:tc>
          <w:tcPr/>
          <w:p>
            <w:pPr>
              <w:pStyle w:val="Compact"/>
            </w:pPr>
            <w:r>
              <w:t xml:space="preserve">Port patrimonial</w:t>
            </w:r>
          </w:p>
        </w:tc>
        <w:tc>
          <w:tcPr/>
          <w:p>
            <w:pPr>
              <w:pStyle w:val="Compact"/>
            </w:pPr>
            <w:r>
              <w:t xml:space="preserve">196</w:t>
            </w:r>
          </w:p>
        </w:tc>
        <w:tc>
          <w:tcPr/>
          <w:p>
            <w:pPr>
              <w:pStyle w:val="Compact"/>
            </w:pPr>
            <w:r>
              <w:t xml:space="preserve">1:34</w:t>
            </w:r>
          </w:p>
        </w:tc>
        <w:tc>
          <w:tcPr/>
          <w:p>
            <w:pPr>
              <w:pStyle w:val="Compact"/>
            </w:pPr>
            <w:r>
              <w:t xml:space="preserve">1:30</w:t>
            </w:r>
          </w:p>
        </w:tc>
        <w:tc>
          <w:tcPr/>
          <w:p>
            <w:pPr>
              <w:pStyle w:val="Compact"/>
            </w:pPr>
            <w:r>
              <w:t xml:space="preserve">1:27</w:t>
            </w:r>
          </w:p>
        </w:tc>
        <w:tc>
          <w:tcPr/>
          <w:p>
            <w:pPr>
              <w:pStyle w:val="Compact"/>
            </w:pPr>
            <w:r>
              <w:t xml:space="preserve">10:20</w:t>
            </w:r>
          </w:p>
        </w:tc>
      </w:tr>
      <w:tr>
        <w:tc>
          <w:tcPr/>
          <w:p>
            <w:pPr>
              <w:pStyle w:val="Compact"/>
            </w:pPr>
            <w:r>
              <w:t xml:space="preserve">9</w:t>
            </w:r>
          </w:p>
        </w:tc>
        <w:tc>
          <w:tcPr/>
          <w:p>
            <w:pPr>
              <w:pStyle w:val="Compact"/>
            </w:pPr>
            <w:r>
              <w:t xml:space="preserve">Domini financer</w:t>
            </w:r>
          </w:p>
        </w:tc>
        <w:tc>
          <w:tcPr/>
          <w:p>
            <w:pPr>
              <w:pStyle w:val="Compact"/>
            </w:pPr>
            <w:r>
              <w:t xml:space="preserve">158</w:t>
            </w:r>
          </w:p>
        </w:tc>
        <w:tc>
          <w:tcPr/>
          <w:p>
            <w:pPr>
              <w:pStyle w:val="Compact"/>
            </w:pPr>
            <w:r>
              <w:t xml:space="preserve">1:16</w:t>
            </w:r>
          </w:p>
        </w:tc>
        <w:tc>
          <w:tcPr/>
          <w:p>
            <w:pPr>
              <w:pStyle w:val="Compact"/>
            </w:pPr>
            <w:r>
              <w:t xml:space="preserve">1:13</w:t>
            </w:r>
          </w:p>
        </w:tc>
        <w:tc>
          <w:tcPr/>
          <w:p>
            <w:pPr>
              <w:pStyle w:val="Compact"/>
            </w:pPr>
            <w:r>
              <w:t xml:space="preserve">1:10</w:t>
            </w:r>
          </w:p>
        </w:tc>
        <w:tc>
          <w:tcPr/>
          <w:p>
            <w:pPr>
              <w:pStyle w:val="Compact"/>
            </w:pPr>
            <w:r>
              <w:t xml:space="preserve">11:33</w:t>
            </w:r>
          </w:p>
        </w:tc>
      </w:tr>
      <w:tr>
        <w:tc>
          <w:tcPr/>
          <w:p>
            <w:pPr>
              <w:pStyle w:val="Compact"/>
            </w:pPr>
            <w:r>
              <w:t xml:space="preserve">10</w:t>
            </w:r>
          </w:p>
        </w:tc>
        <w:tc>
          <w:tcPr/>
          <w:p>
            <w:pPr>
              <w:pStyle w:val="Compact"/>
            </w:pPr>
            <w:r>
              <w:t xml:space="preserve">Idea clau i tancament</w:t>
            </w:r>
          </w:p>
        </w:tc>
        <w:tc>
          <w:tcPr/>
          <w:p>
            <w:pPr>
              <w:pStyle w:val="Compact"/>
            </w:pPr>
            <w:r>
              <w:t xml:space="preserve">88</w:t>
            </w:r>
          </w:p>
        </w:tc>
        <w:tc>
          <w:tcPr/>
          <w:p>
            <w:pPr>
              <w:pStyle w:val="Compact"/>
            </w:pPr>
            <w:r>
              <w:t xml:space="preserve">0:42</w:t>
            </w:r>
          </w:p>
        </w:tc>
        <w:tc>
          <w:tcPr/>
          <w:p>
            <w:pPr>
              <w:pStyle w:val="Compact"/>
            </w:pPr>
            <w:r>
              <w:t xml:space="preserve">0:41</w:t>
            </w:r>
          </w:p>
        </w:tc>
        <w:tc>
          <w:tcPr/>
          <w:p>
            <w:pPr>
              <w:pStyle w:val="Compact"/>
            </w:pPr>
            <w:r>
              <w:t xml:space="preserve">0:39</w:t>
            </w:r>
          </w:p>
        </w:tc>
        <w:tc>
          <w:tcPr/>
          <w:p>
            <w:pPr>
              <w:pStyle w:val="Compact"/>
            </w:pPr>
            <w:r>
              <w:t xml:space="preserve">12:14</w:t>
            </w:r>
          </w:p>
        </w:tc>
      </w:tr>
      <w:tr>
        <w:tc>
          <w:tcPr/>
          <w:p>
            <w:pPr>
              <w:pStyle w:val="Compact"/>
            </w:pPr>
            <w:r>
              <w:t xml:space="preserve">11</w:t>
            </w:r>
          </w:p>
        </w:tc>
        <w:tc>
          <w:tcPr/>
          <w:p>
            <w:pPr>
              <w:pStyle w:val="Compact"/>
            </w:pPr>
            <w:r>
              <w:t xml:space="preserve">Agraïment</w:t>
            </w:r>
          </w:p>
        </w:tc>
        <w:tc>
          <w:tcPr/>
          <w:p>
            <w:pPr>
              <w:pStyle w:val="Compact"/>
            </w:pPr>
            <w:r>
              <w:t xml:space="preserve">35</w:t>
            </w:r>
          </w:p>
        </w:tc>
        <w:tc>
          <w:tcPr/>
          <w:p>
            <w:pPr>
              <w:pStyle w:val="Compact"/>
            </w:pPr>
            <w:r>
              <w:t xml:space="preserve">0:17</w:t>
            </w:r>
          </w:p>
        </w:tc>
        <w:tc>
          <w:tcPr/>
          <w:p>
            <w:pPr>
              <w:pStyle w:val="Compact"/>
            </w:pPr>
            <w:r>
              <w:t xml:space="preserve">0:16</w:t>
            </w:r>
          </w:p>
        </w:tc>
        <w:tc>
          <w:tcPr/>
          <w:p>
            <w:pPr>
              <w:pStyle w:val="Compact"/>
            </w:pPr>
            <w:r>
              <w:t xml:space="preserve">0:16</w:t>
            </w:r>
          </w:p>
        </w:tc>
        <w:tc>
          <w:tcPr/>
          <w:p>
            <w:pPr>
              <w:pStyle w:val="Compact"/>
            </w:pPr>
            <w:r>
              <w:t xml:space="preserve">12:30</w:t>
            </w:r>
          </w:p>
        </w:tc>
      </w:tr>
      <w:tr>
        <w:tc>
          <w:tcPr/>
          <w:p>
            <w:pPr>
              <w:pStyle w:val="Compact"/>
            </w:pPr>
            <w:r>
              <w:rPr>
                <w:b/>
                <w:bCs/>
              </w:rPr>
              <w:t xml:space="preserve">Total</w:t>
            </w:r>
          </w:p>
        </w:tc>
        <w:tc>
          <w:tcPr/>
          <w:p>
            <w:pPr>
              <w:pStyle w:val="Compact"/>
            </w:pPr>
            <w:r>
              <w:rPr>
                <w:b/>
                <w:bCs/>
              </w:rPr>
              <w:t xml:space="preserve">Cos principal</w:t>
            </w:r>
          </w:p>
        </w:tc>
        <w:tc>
          <w:tcPr/>
          <w:p>
            <w:pPr>
              <w:pStyle w:val="Compact"/>
            </w:pPr>
            <w:r>
              <w:rPr>
                <w:b/>
                <w:bCs/>
              </w:rPr>
              <w:t xml:space="preserve">1.625</w:t>
            </w:r>
          </w:p>
        </w:tc>
        <w:tc>
          <w:tcPr/>
          <w:p>
            <w:pPr>
              <w:pStyle w:val="Compact"/>
            </w:pPr>
            <w:r>
              <w:rPr>
                <w:b/>
                <w:bCs/>
              </w:rPr>
              <w:t xml:space="preserve">13:00</w:t>
            </w:r>
          </w:p>
        </w:tc>
        <w:tc>
          <w:tcPr/>
          <w:p>
            <w:pPr>
              <w:pStyle w:val="Compact"/>
            </w:pPr>
            <w:r>
              <w:rPr>
                <w:b/>
                <w:bCs/>
              </w:rPr>
              <w:t xml:space="preserve">12:30</w:t>
            </w:r>
          </w:p>
        </w:tc>
        <w:tc>
          <w:tcPr/>
          <w:p>
            <w:pPr>
              <w:pStyle w:val="Compact"/>
            </w:pPr>
            <w:r>
              <w:rPr>
                <w:b/>
                <w:bCs/>
              </w:rPr>
              <w:t xml:space="preserve">12:02</w:t>
            </w:r>
          </w:p>
        </w:tc>
        <w:tc>
          <w:tcPr/>
          <w:p>
            <w:pPr>
              <w:pStyle w:val="Compact"/>
            </w:pPr>
            <w:r>
              <w:rPr>
                <w:b/>
                <w:bCs/>
              </w:rPr>
              <w:t xml:space="preserve">12:30</w:t>
            </w:r>
          </w:p>
        </w:tc>
      </w:tr>
    </w:tbl>
    <w:p>
      <w:pPr>
        <w:pStyle w:val="BodyText"/>
      </w:pPr>
      <w:r>
        <w:t xml:space="preserve">Estimació anterior de treball: 18:15-19:00. Temps eliminat del cos principal: una diapositiva prevista d’1:25. La separació de la síntesi tècnica i l’agraïment en dues diapositives afegeix aproximadament 0:20-0:30 (canvi de diapositiva i pausa protocol·lària), sense contingut tècnic nou. Nova estimació prudent amb pauses reals: 16:20-17:45. Marge respecte dels 20 minuts: aproximadament 2:15-3:40, pendent de validació amb assaig oral real.</w:t>
      </w:r>
    </w:p>
    <w:p>
      <w:r>
        <w:pict>
          <ns1:rect style="width:0;height:1.5pt" ns2:hralign="center" ns2:hrstd="t" ns2:hr="t"/>
        </w:pict>
      </w:r>
    </w:p>
    <w:bookmarkEnd w:id="37"/>
    <w:bookmarkStart w:id="42" w:name="pla-dentrenament-comunicatiu"/>
    <w:p>
      <w:pPr>
        <w:pStyle w:val="Heading2"/>
      </w:pPr>
      <w:r>
        <w:t xml:space="preserve">5. Pla d’entrenament comunicatiu</w:t>
      </w:r>
    </w:p>
    <w:bookmarkStart w:id="38"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contracte representat amb una interfície, i la conclusió final. La resta pot ser més flexible.</w:t>
      </w:r>
    </w:p>
    <w:p>
      <w:pPr>
        <w:pStyle w:val="BodyText"/>
      </w:pPr>
      <w:r>
        <w:t xml:space="preserve">Després fes una lectura cronometrada només del cos principal, sense annex. Ritme orientatiu: 125-135 paraules per minut, amb pauses reals. No intentis ocupar exactament vint minuts. Si el temps queda per sota del marge previst, no afegeixis contingut tècnic nou; amplia pauses, mirada, assenyalament de diagrames i transicions.</w:t>
      </w:r>
    </w:p>
    <w:p>
      <w:pPr>
        <w:pStyle w:val="BodyText"/>
      </w:pPr>
      <w:r>
        <w:t xml:space="preserve">La demo opcional s’ha d’assajar per separat. No s’ha d’incloure en el cronòmetre principal.</w:t>
      </w:r>
    </w:p>
    <w:bookmarkEnd w:id="38"/>
    <w:bookmarkStart w:id="39"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conclusió tècnica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9"/>
    <w:bookmarkStart w:id="40"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6-9,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40"/>
    <w:bookmarkStart w:id="41"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això és el problema, no la solució</w:t>
      </w:r>
      <w:r>
        <w:t xml:space="preserve">;</w:t>
      </w:r>
      <w:r>
        <w:t xml:space="preserve"> </w:t>
      </w:r>
      <w:r>
        <w:rPr>
          <w:rStyle w:val="VerbatimChar"/>
        </w:rPr>
        <w:t xml:space="preserve">el problema no és consumir PICA</w:t>
      </w:r>
      <w:r>
        <w:t xml:space="preserve">;</w:t>
      </w:r>
      <w:r>
        <w:t xml:space="preserve"> </w:t>
      </w:r>
      <w:r>
        <w:rPr>
          <w:rStyle w:val="VerbatimChar"/>
        </w:rPr>
        <w:t xml:space="preserve">el port és un contracte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situa la dependència externa en una frontera explícita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1"/>
    <w:bookmarkEnd w:id="42"/>
    <w:bookmarkStart w:id="43" w:name="advertiments-finals"/>
    <w:p>
      <w:pPr>
        <w:pStyle w:val="Heading2"/>
      </w:pPr>
      <w:r>
        <w:t xml:space="preserve">6. Advertiments finals</w:t>
      </w:r>
    </w:p>
    <w:p>
      <w:pPr>
        <w:pStyle w:val="FirstParagraph"/>
      </w:pPr>
      <w:r>
        <w:t xml:space="preserve">Risc de temps: les diapositives 4-9 poden allargar-se fàcilment. Si vas tard, no retallis la conclusió tècnica; retalla detall del cas AGAUR o de la transferència al domini financer.</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amb Java sense fer-ne una definició dogmàtica. En aquesta explicació, el port és un contracte i en Java el representem amb una interfície;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3"/>
    <w:bookmarkEnd w:id="44"/>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2026-07-14T15:50:32Z</dcterms:created>
  <dcterms:modified xsi:type="dcterms:W3CDTF">2026-07-14T15:50:32Z</dcterms:modified>
</cp:coreProperties>
</file>

<file path=docProps/custom.xml><?xml version="1.0" encoding="utf-8"?>
<Properties xmlns="http://schemas.openxmlformats.org/officeDocument/2006/custom-properties" xmlns:vt="http://schemas.openxmlformats.org/officeDocument/2006/docPropsVTypes"/>
</file>