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risc principal és que algunes diapositives poden confondre tres plans diferents: flux d’execució, dependència de codi i dependència arquitectònica. La recomanació del Dr. Josep Roure és conceptualment correcta: en ports de sortida, l’adaptador implementa el port definit per l’aplicació. Per tant, si la fletxa representa dependència de codi o realització d’interfície, ha d’anar de l’adaptador cap al port, no del port cap a l’adaptador. Si la fletxa representa flux d’execució, aleshores pot anar del servei cap al port, del port cap a l’adaptador i de l’adaptador cap al sistema extern. Les dues lectures són compatibles, però s’han de distingir visualment.</w:t>
      </w:r>
    </w:p>
    <w:p>
      <w:pPr>
        <w:pStyle w:val="BodyText"/>
      </w:pPr>
      <w:r>
        <w:t xml:space="preserve">S’han revisat també els detalls formals del text visible de la presentació: ortografia, accents, apòstrofs, cometes, noms propis i numeració visible de les diapositives. La terminologia de desacoblament ja queda formulada de manera correcta i coherent.</w:t>
      </w:r>
    </w:p>
    <w:bookmarkEnd w:id="9"/>
    <w:bookmarkStart w:id="10" w:name="millores-proposades-per-diapositiva"/>
    <w:p>
      <w:pPr>
        <w:pStyle w:val="Heading2"/>
      </w:pPr>
      <w:r>
        <w:t xml:space="preserve">2. Millores proposades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Diapositiva 3. Objectiu de la sessió</w:t>
      </w:r>
    </w:p>
    <w:p>
      <w:pPr>
        <w:pStyle w:val="BodyText"/>
      </w:pPr>
      <w:r>
        <w:t xml:space="preserve">Correcció aplicada. Les antigues diapositives 3 i 4 s’han fusionat en una sola diapositiva pont, més lleugera i sense diagrama. La diapositiva presenta només el principi de treball —el cas d’ús necessita una capacitat, no una tecnologia— i les tres accions observables: identificar una necessitat, definir un port de sortida i implementar adaptadors. La funció d’aquesta diapositiva és situar l’objectiu sense frenar l’entrada al cas real.</w:t>
      </w:r>
    </w:p>
    <w:p>
      <w:pPr>
        <w:pStyle w:val="BodyText"/>
      </w:pPr>
      <w:r>
        <w:rPr>
          <w:b/>
          <w:bCs/>
        </w:rPr>
        <w:t xml:space="preserve">Diapositiva 4. Avaluació econòmica d’una beca</w:t>
      </w:r>
    </w:p>
    <w:p>
      <w:pPr>
        <w:pStyle w:val="BodyText"/>
      </w:pPr>
      <w:r>
        <w:t xml:space="preserve">La diapositiva situa bé el cas funcional abans de la tecnologia. S’hi ha incorporat una formulació més institucional i prudent:</w:t>
      </w:r>
      <w:r>
        <w:t xml:space="preserve"> </w:t>
      </w:r>
      <w:r>
        <w:rPr>
          <w:rStyle w:val="VerbatimChar"/>
        </w:rPr>
        <w:t xml:space="preserve">Quan no s'acredita el compliment dels requisits econòmics, l'expedient no obté una valoració favorable en aquesta fase.</w:t>
      </w:r>
      <w:r>
        <w:t xml:space="preserve"> </w:t>
      </w:r>
      <w:r>
        <w:t xml:space="preserve">El diagrama petit pot ser difícil de llegir; si no es retoca, cal assenyalar només el bloc d’avaluació econòmica.</w:t>
      </w:r>
    </w:p>
    <w:p>
      <w:pPr>
        <w:pStyle w:val="BodyText"/>
      </w:pPr>
      <w:r>
        <w:rPr>
          <w:b/>
          <w:bCs/>
        </w:rPr>
        <w:t xml:space="preserve">Diapositiva 5. Informació externa</w:t>
      </w:r>
    </w:p>
    <w:p>
      <w:pPr>
        <w:pStyle w:val="BodyText"/>
      </w:pPr>
      <w:r>
        <w:t xml:space="preserve">La idea és molt bona: necessitat funcional abans que API concreta. La definició de PICA s’ha simplificat per evitar una nota massa llarga. La resta s’explica oralment.</w:t>
      </w:r>
    </w:p>
    <w:p>
      <w:pPr>
        <w:pStyle w:val="BodyText"/>
      </w:pPr>
      <w:r>
        <w:rPr>
          <w:b/>
          <w:bCs/>
        </w:rPr>
        <w:t xml:space="preserve">Diapositiva 6.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7. Port de sortida i adaptador</w:t>
      </w:r>
    </w:p>
    <w:p>
      <w:pPr>
        <w:pStyle w:val="BodyText"/>
      </w:pPr>
      <w:r>
        <w:t xml:space="preserve">Aquí cal aplicar la millora de fletxes. La seqüència vertical actual explica bé el flux d’execució, però no la dependència de codi. Proposta visual:</w:t>
      </w:r>
    </w:p>
    <w:p>
      <w:pPr>
        <w:pStyle w:val="Compact"/>
        <w:numPr>
          <w:ilvl w:val="0"/>
          <w:numId w:val="1002"/>
        </w:numPr>
      </w:pPr>
      <w:r>
        <w:t xml:space="preserve">Fletxa continua i fina cap avall:</w:t>
      </w:r>
      <w:r>
        <w:t xml:space="preserve"> </w:t>
      </w:r>
      <w:r>
        <w:rPr>
          <w:rStyle w:val="VerbatimChar"/>
        </w:rPr>
        <w:t xml:space="preserve">flux d'execució</w:t>
      </w:r>
      <w:r>
        <w:t xml:space="preserve">.</w:t>
      </w:r>
    </w:p>
    <w:p>
      <w:pPr>
        <w:pStyle w:val="Compact"/>
        <w:numPr>
          <w:ilvl w:val="0"/>
          <w:numId w:val="1002"/>
        </w:numPr>
      </w:pPr>
      <w:r>
        <w:t xml:space="preserve">Fletxa discontinua o d’un altre color de l’adaptador cap al port:</w:t>
      </w:r>
      <w:r>
        <w:t xml:space="preserve"> </w:t>
      </w:r>
      <w:r>
        <w:rPr>
          <w:rStyle w:val="VerbatimChar"/>
        </w:rPr>
        <w:t xml:space="preserve">dependència de codi / implementa</w:t>
      </w:r>
      <w:r>
        <w:t xml:space="preserve">.</w:t>
      </w:r>
    </w:p>
    <w:p>
      <w:pPr>
        <w:pStyle w:val="Compact"/>
        <w:numPr>
          <w:ilvl w:val="0"/>
          <w:numId w:val="1002"/>
        </w:numPr>
      </w:pPr>
      <w:r>
        <w:t xml:space="preserve">Text lateral:</w:t>
      </w:r>
      <w:r>
        <w:t xml:space="preserve"> </w:t>
      </w:r>
      <w:r>
        <w:rPr>
          <w:rStyle w:val="VerbatimChar"/>
        </w:rPr>
        <w:t xml:space="preserve">El servei usa el port; l'adaptador implementa el port</w:t>
      </w:r>
      <w:r>
        <w:t xml:space="preserve">.</w:t>
      </w:r>
    </w:p>
    <w:p>
      <w:pPr>
        <w:pStyle w:val="FirstParagraph"/>
      </w:pPr>
      <w:r>
        <w:t xml:space="preserve">Això permet dir: el cas d’ús crida una capacitat definida pel port, però la implementació concreta depèn del contracte de l’aplicació.</w:t>
      </w:r>
    </w:p>
    <w:p>
      <w:pPr>
        <w:pStyle w:val="BodyText"/>
      </w:pPr>
      <w:r>
        <w:rPr>
          <w:b/>
          <w:bCs/>
        </w:rPr>
        <w:t xml:space="preserve">Diapositiva 8. Port de sortida per a informació patrimonial</w:t>
      </w:r>
    </w:p>
    <w:p>
      <w:pPr>
        <w:pStyle w:val="BodyText"/>
      </w:pPr>
      <w:r>
        <w:t xml:space="preserve">La frase superior és molt bona. El diagrama, però, manté</w:t>
      </w:r>
      <w:r>
        <w:t xml:space="preserve"> </w:t>
      </w:r>
      <w:r>
        <w:rPr>
          <w:rStyle w:val="VerbatimChar"/>
        </w:rPr>
        <w:t xml:space="preserve">implemented by</w:t>
      </w:r>
      <w:r>
        <w:t xml:space="preserve"> </w:t>
      </w:r>
      <w:r>
        <w:t xml:space="preserve">amb fletxes que visualment semblen sortir del port cap a l’adaptador. Proposta: invertir aquestes fletxes o canviar-ne l’etiqueta a</w:t>
      </w:r>
      <w:r>
        <w:t xml:space="preserve"> </w:t>
      </w:r>
      <w:r>
        <w:rPr>
          <w:rStyle w:val="VerbatimChar"/>
        </w:rPr>
        <w:t xml:space="preserve">implementa</w:t>
      </w:r>
      <w:r>
        <w:t xml:space="preserve">, amb la direcció adaptador -&gt; port. Mantenir les fletxes de</w:t>
      </w:r>
      <w:r>
        <w:t xml:space="preserve"> </w:t>
      </w:r>
      <w:r>
        <w:rPr>
          <w:rStyle w:val="VerbatimChar"/>
        </w:rPr>
        <w:t xml:space="preserve">uses</w:t>
      </w:r>
      <w:r>
        <w:t xml:space="preserve"> </w:t>
      </w:r>
      <w:r>
        <w:t xml:space="preserve">des del servei cap als ports si es vol representar el flux d’execució.</w:t>
      </w:r>
    </w:p>
    <w:p>
      <w:pPr>
        <w:pStyle w:val="BodyText"/>
      </w:pPr>
      <w:r>
        <w:rPr>
          <w:b/>
          <w:bCs/>
        </w:rPr>
        <w:t xml:space="preserve">Diapositiva 9. Transferència a domini financer</w:t>
      </w:r>
    </w:p>
    <w:p>
      <w:pPr>
        <w:pStyle w:val="BodyText"/>
      </w:pPr>
      <w:r>
        <w:t xml:space="preserve">La transferència és clara. El diagrama HexaStock, com el d’AGAUR, hauria de distingir flux d’execució i dependència de codi. Especialment en</w:t>
      </w:r>
      <w:r>
        <w:t xml:space="preserve"> </w:t>
      </w:r>
      <w:r>
        <w:rPr>
          <w:rStyle w:val="VerbatimChar"/>
        </w:rPr>
        <w:t xml:space="preserve">StockPriceProviderPort</w:t>
      </w:r>
      <w:r>
        <w:t xml:space="preserve">, convé que</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i</w:t>
      </w:r>
      <w:r>
        <w:t xml:space="preserve"> </w:t>
      </w:r>
      <w:r>
        <w:rPr>
          <w:rStyle w:val="VerbatimChar"/>
        </w:rPr>
        <w:t xml:space="preserve">MockFinhubStockPriceAdapter</w:t>
      </w:r>
      <w:r>
        <w:t xml:space="preserve"> </w:t>
      </w:r>
      <w:r>
        <w:t xml:space="preserve">apareguin com a implementacions que apunten cap al port. El missatge central és correcte i s’ha de mantenir: el cas d’ús necessita el preu actual, no un proveïdor concret.</w:t>
      </w:r>
    </w:p>
    <w:p>
      <w:pPr>
        <w:pStyle w:val="BodyText"/>
      </w:pPr>
      <w:r>
        <w:rPr>
          <w:b/>
          <w:bCs/>
        </w:rPr>
        <w:t xml:space="preserve">Diapositiva 10.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7-9.</w:t>
      </w:r>
    </w:p>
    <w:p>
      <w:pPr>
        <w:pStyle w:val="BodyText"/>
      </w:pPr>
      <w:r>
        <w:rPr>
          <w:b/>
          <w:bCs/>
        </w:rPr>
        <w:t xml:space="preserve">Diapositiva 11.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12. Agraïment</w:t>
      </w:r>
    </w:p>
    <w:p>
      <w:pPr>
        <w:pStyle w:val="BodyText"/>
      </w:pPr>
      <w:r>
        <w:t xml:space="preserve">Correcta i institucional. El tancament s’ha reformulat per evitar un to de comiat o de petició explícita: agraeix l’entorn que encoratja el creixement docent i acadèmic, en present, i manté el vincle amb l’equip docent. El pla docent identifica el professor com a Josep Roure Alcobé; per coherència documental, es pot fer servir</w:t>
      </w:r>
      <w:r>
        <w:t xml:space="preserve"> </w:t>
      </w:r>
      <w:r>
        <w:rPr>
          <w:rStyle w:val="VerbatimChar"/>
        </w:rPr>
        <w:t xml:space="preserve">Dr. Josep Roure Alcobé</w:t>
      </w:r>
      <w:r>
        <w:t xml:space="preserve">. Millor tancar mirant el tribunal, no llegint la diapositiva.</w:t>
      </w:r>
    </w:p>
    <w:bookmarkEnd w:id="10"/>
    <w:bookmarkStart w:id="23"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bd8d813bdf1f660b3e63d6e4e001ea5920e5fb0"/>
    <w:p>
      <w:pPr>
        <w:pStyle w:val="Heading3"/>
      </w:pPr>
      <w:r>
        <w:t xml:space="preserve">Diapositiva 2. On som dins l’assignatura - 1:10</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[mirar el tribunal]</w:t>
      </w:r>
    </w:p>
    <w:p>
      <w:pPr>
        <w:pStyle w:val="BodyText"/>
      </w:pPr>
      <w:r>
        <w:t xml:space="preserve">Per tant, el que aprendrem és a fer tres operacions: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3"/>
    <w:bookmarkStart w:id="14" w:name="Xe44e148b7ebe898f3299718f45351b6467fee24"/>
    <w:p>
      <w:pPr>
        <w:pStyle w:val="Heading3"/>
      </w:pPr>
      <w:r>
        <w:t xml:space="preserve">Diapositiva 4. Avaluació econòmica d’una beca - 1:50</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4"/>
    <w:bookmarkStart w:id="15" w:name="X49d8499aef8096cf0d8707c0a2b10b4e00df2f8"/>
    <w:p>
      <w:pPr>
        <w:pStyle w:val="Heading3"/>
      </w:pPr>
      <w:r>
        <w:t xml:space="preserve">Diapositiva 5. Quina informació externa necessita el procediment? - 2:00</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5"/>
    <w:bookmarkStart w:id="16" w:name="X84147f10029592ec3bd146ffb3a5109a19eca0d"/>
    <w:p>
      <w:pPr>
        <w:pStyle w:val="Heading3"/>
      </w:pPr>
      <w:r>
        <w:t xml:space="preserve">Diapositiva 6. Dependència directa entre procediment i integració - 2:10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6"/>
    <w:bookmarkStart w:id="17" w:name="X43a98a6def8e1803c902d37f4cf49908c0aca50"/>
    <w:p>
      <w:pPr>
        <w:pStyle w:val="Heading3"/>
      </w:pPr>
      <w:r>
        <w:t xml:space="preserve">Diapositiva 7. Port de sortida i adaptador - 1:30</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7"/>
    <w:bookmarkStart w:id="18" w:name="X25282647dc1f1bc8d2bf508fc797cb7f01a992d"/>
    <w:p>
      <w:pPr>
        <w:pStyle w:val="Heading3"/>
      </w:pPr>
      <w:r>
        <w:t xml:space="preserve">Diapositiva 8. Port de sortida per a informació patrimonial - 2:05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Per això la proposta de revisar les fletxes és encertada. Si la fletxa indica</w:t>
      </w:r>
      <w:r>
        <w:t xml:space="preserve"> </w:t>
      </w:r>
      <w:r>
        <w:rPr>
          <w:rStyle w:val="VerbatimChar"/>
        </w:rPr>
        <w:t xml:space="preserve">implementa</w:t>
      </w:r>
      <w:r>
        <w:t xml:space="preserve">, hauria d’anar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8"/>
    <w:bookmarkStart w:id="19" w:name="X619a10340c1a251e91abc9532d1ef3ec34eca8e"/>
    <w:p>
      <w:pPr>
        <w:pStyle w:val="Heading3"/>
      </w:pPr>
      <w:r>
        <w:t xml:space="preserve">Diapositiva 9. Transferència a domini financer - 1:45</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9"/>
    <w:bookmarkStart w:id="20" w:name="Xf23ce5279610c607185e420fa6986d11a2001c6"/>
    <w:p>
      <w:pPr>
        <w:pStyle w:val="Heading3"/>
      </w:pPr>
      <w:r>
        <w:t xml:space="preserve">Diapositiva 10. Flux i codi essencial - 1:45</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0"/>
    <w:bookmarkStart w:id="21" w:name="diapositiva-11.-demo---145"/>
    <w:p>
      <w:pPr>
        <w:pStyle w:val="Heading3"/>
      </w:pPr>
      <w:r>
        <w:t xml:space="preserve">Diapositiva 11. Demo - 1:45</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1"/>
    <w:bookmarkStart w:id="22" w:name="diapositiva-12.-agraïment---120"/>
    <w:p>
      <w:pPr>
        <w:pStyle w:val="Heading3"/>
      </w:pPr>
      <w:r>
        <w:t xml:space="preserve">Diapositiva 12. Agraïment - 1:20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bookmarkEnd w:id="22"/>
    <w:bookmarkEnd w:id="23"/>
    <w:bookmarkStart w:id="36" w:name="notes-del-presentador-per-diapositiva"/>
    <w:p>
      <w:pPr>
        <w:pStyle w:val="Heading2"/>
      </w:pPr>
      <w:r>
        <w:t xml:space="preserve">4. Notes del presentador per diapositiva</w:t>
      </w:r>
    </w:p>
    <w:bookmarkStart w:id="24" w:name="portada---145"/>
    <w:p>
      <w:pPr>
        <w:pStyle w:val="Heading3"/>
      </w:pPr>
      <w:r>
        <w:t xml:space="preserve">1. Portada - 1:45</w:t>
      </w:r>
    </w:p>
    <w:p>
      <w:pPr>
        <w:pStyle w:val="Compact"/>
        <w:numPr>
          <w:ilvl w:val="0"/>
          <w:numId w:val="1003"/>
        </w:numPr>
      </w:pPr>
      <w:r>
        <w:t xml:space="preserve">Microlliçó de DSI, no explicació completa d’arquitectura hexagonal.</w:t>
      </w:r>
    </w:p>
    <w:p>
      <w:pPr>
        <w:pStyle w:val="Compact"/>
        <w:numPr>
          <w:ilvl w:val="0"/>
          <w:numId w:val="1003"/>
        </w:numPr>
      </w:pPr>
      <w:r>
        <w:t xml:space="preserve">Informe AGAUR incorporat al tribunal: activitat real de 60 hores, maig-juliol 2025.</w:t>
      </w:r>
    </w:p>
    <w:p>
      <w:pPr>
        <w:pStyle w:val="Compact"/>
        <w:numPr>
          <w:ilvl w:val="0"/>
          <w:numId w:val="1003"/>
        </w:numPr>
      </w:pPr>
      <w:r>
        <w:t xml:space="preserve">Connexió: docència amb Dr. Josep Roure + consultoria en sistemes d’informació.</w:t>
      </w:r>
    </w:p>
    <w:p>
      <w:pPr>
        <w:pStyle w:val="Compact"/>
        <w:numPr>
          <w:ilvl w:val="0"/>
          <w:numId w:val="1003"/>
        </w:numPr>
      </w:pPr>
      <w:r>
        <w:t xml:space="preserve">No revelar dades internes; cas real com a base docent.</w:t>
      </w:r>
    </w:p>
    <w:p>
      <w:pPr>
        <w:pStyle w:val="Compact"/>
        <w:numPr>
          <w:ilvl w:val="0"/>
          <w:numId w:val="1003"/>
        </w:numPr>
      </w:pPr>
      <w:r>
        <w:t xml:space="preserve">Transició: ens centrarem en una decisió concreta, el port de sortida.</w:t>
      </w:r>
    </w:p>
    <w:bookmarkEnd w:id="24"/>
    <w:bookmarkStart w:id="25" w:name="on-som-dins-lassignatura---110"/>
    <w:p>
      <w:pPr>
        <w:pStyle w:val="Heading3"/>
      </w:pPr>
      <w:r>
        <w:t xml:space="preserve">2. On som dins l’assignatura - 1:10</w:t>
      </w:r>
    </w:p>
    <w:p>
      <w:pPr>
        <w:pStyle w:val="Compact"/>
        <w:numPr>
          <w:ilvl w:val="0"/>
          <w:numId w:val="1004"/>
        </w:numPr>
      </w:pPr>
      <w:r>
        <w:t xml:space="preserve">Pla docent: 3r curs, 6 ECTS, assignatura obligatòria.</w:t>
      </w:r>
    </w:p>
    <w:p>
      <w:pPr>
        <w:pStyle w:val="Compact"/>
        <w:numPr>
          <w:ilvl w:val="0"/>
          <w:numId w:val="1004"/>
        </w:numPr>
      </w:pPr>
      <w:r>
        <w:t xml:space="preserve">Bloc: clean/hexagonal, ports i adaptadors, mapping, mòduls, DDD.</w:t>
      </w:r>
    </w:p>
    <w:p>
      <w:pPr>
        <w:pStyle w:val="Compact"/>
        <w:numPr>
          <w:ilvl w:val="0"/>
          <w:numId w:val="1004"/>
        </w:numPr>
      </w:pPr>
      <w:r>
        <w:t xml:space="preserve">Justificar que la sessió encaixa en el temari.</w:t>
      </w:r>
    </w:p>
    <w:p>
      <w:pPr>
        <w:pStyle w:val="Compact"/>
        <w:numPr>
          <w:ilvl w:val="0"/>
          <w:numId w:val="1004"/>
        </w:numPr>
      </w:pPr>
      <w:r>
        <w:t xml:space="preserve">No panoràmica completa; focus en ports de sortida.</w:t>
      </w:r>
    </w:p>
    <w:p>
      <w:pPr>
        <w:pStyle w:val="Compact"/>
        <w:numPr>
          <w:ilvl w:val="0"/>
          <w:numId w:val="1004"/>
        </w:numPr>
      </w:pPr>
      <w:r>
        <w:t xml:space="preserve">Transició: objectiu mínim i entrada ràpida al cas real.</w:t>
      </w:r>
    </w:p>
    <w:bookmarkEnd w:id="25"/>
    <w:bookmarkStart w:id="26" w:name="objectiu-de-la-sessió---055"/>
    <w:p>
      <w:pPr>
        <w:pStyle w:val="Heading3"/>
      </w:pPr>
      <w:r>
        <w:t xml:space="preserve">3. Objectiu de la sessió - 0:55</w:t>
      </w:r>
    </w:p>
    <w:p>
      <w:pPr>
        <w:pStyle w:val="Compact"/>
        <w:numPr>
          <w:ilvl w:val="0"/>
          <w:numId w:val="1005"/>
        </w:numPr>
      </w:pPr>
      <w:r>
        <w:t xml:space="preserve">Passar-hi ràpid: és una diapositiva pont, no una explicació teòrica llarga.</w:t>
      </w:r>
    </w:p>
    <w:p>
      <w:pPr>
        <w:pStyle w:val="Compact"/>
        <w:numPr>
          <w:ilvl w:val="0"/>
          <w:numId w:val="1005"/>
        </w:numPr>
      </w:pPr>
      <w:r>
        <w:t xml:space="preserve">Frase clau: el cas d’ús necessita una capacitat, no una tecnologia.</w:t>
      </w:r>
    </w:p>
    <w:p>
      <w:pPr>
        <w:pStyle w:val="Compact"/>
        <w:numPr>
          <w:ilvl w:val="0"/>
          <w:numId w:val="1005"/>
        </w:numPr>
      </w:pPr>
      <w:r>
        <w:t xml:space="preserve">Tres accions: identificar necessitat, definir port, implementar adaptadors.</w:t>
      </w:r>
    </w:p>
    <w:p>
      <w:pPr>
        <w:pStyle w:val="Compact"/>
        <w:numPr>
          <w:ilvl w:val="0"/>
          <w:numId w:val="1005"/>
        </w:numPr>
      </w:pPr>
      <w:r>
        <w:t xml:space="preserve">Anunciar metodologia: primer cas real, després abstracció arquitectònica.</w:t>
      </w:r>
    </w:p>
    <w:p>
      <w:pPr>
        <w:pStyle w:val="Compact"/>
        <w:numPr>
          <w:ilvl w:val="0"/>
          <w:numId w:val="1005"/>
        </w:numPr>
      </w:pPr>
      <w:r>
        <w:t xml:space="preserve">Transició: començar pel procediment de beca.</w:t>
      </w:r>
    </w:p>
    <w:bookmarkEnd w:id="26"/>
    <w:bookmarkStart w:id="27" w:name="avaluació-econòmica---150"/>
    <w:p>
      <w:pPr>
        <w:pStyle w:val="Heading3"/>
      </w:pPr>
      <w:r>
        <w:t xml:space="preserve">4. Avaluació econòmica - 1:50</w:t>
      </w:r>
    </w:p>
    <w:p>
      <w:pPr>
        <w:pStyle w:val="Compact"/>
        <w:numPr>
          <w:ilvl w:val="0"/>
          <w:numId w:val="1006"/>
        </w:numPr>
      </w:pPr>
      <w:r>
        <w:t xml:space="preserve">Primer entendre procediment, després tecnologia.</w:t>
      </w:r>
    </w:p>
    <w:p>
      <w:pPr>
        <w:pStyle w:val="Compact"/>
        <w:numPr>
          <w:ilvl w:val="0"/>
          <w:numId w:val="1006"/>
        </w:numPr>
      </w:pPr>
      <w:r>
        <w:t xml:space="preserve">Sol·licitud, expedient, requisits generals, econòmics, revisió, resolució.</w:t>
      </w:r>
    </w:p>
    <w:p>
      <w:pPr>
        <w:pStyle w:val="Compact"/>
        <w:numPr>
          <w:ilvl w:val="0"/>
          <w:numId w:val="1006"/>
        </w:numPr>
      </w:pPr>
      <w:r>
        <w:t xml:space="preserve">Renda i patrimoni com a decisió funcional.</w:t>
      </w:r>
    </w:p>
    <w:p>
      <w:pPr>
        <w:pStyle w:val="Compact"/>
        <w:numPr>
          <w:ilvl w:val="0"/>
          <w:numId w:val="1006"/>
        </w:numPr>
      </w:pPr>
      <w:r>
        <w:t xml:space="preserve">Evitar començar per SOAP/REST/PICA.</w:t>
      </w:r>
    </w:p>
    <w:p>
      <w:pPr>
        <w:pStyle w:val="Compact"/>
        <w:numPr>
          <w:ilvl w:val="0"/>
          <w:numId w:val="1006"/>
        </w:numPr>
      </w:pPr>
      <w:r>
        <w:t xml:space="preserve">Transició: quines dades externes fan falta?</w:t>
      </w:r>
    </w:p>
    <w:bookmarkEnd w:id="27"/>
    <w:bookmarkStart w:id="28" w:name="informació-externa---200"/>
    <w:p>
      <w:pPr>
        <w:pStyle w:val="Heading3"/>
      </w:pPr>
      <w:r>
        <w:t xml:space="preserve">5. Informació externa - 2:00</w:t>
      </w:r>
    </w:p>
    <w:p>
      <w:pPr>
        <w:pStyle w:val="Compact"/>
        <w:numPr>
          <w:ilvl w:val="0"/>
          <w:numId w:val="1007"/>
        </w:numPr>
      </w:pPr>
      <w:r>
        <w:t xml:space="preserve">Necessitats: renda, patrimoni, béns immobles.</w:t>
      </w:r>
    </w:p>
    <w:p>
      <w:pPr>
        <w:pStyle w:val="Compact"/>
        <w:numPr>
          <w:ilvl w:val="0"/>
          <w:numId w:val="1007"/>
        </w:numPr>
      </w:pPr>
      <w:r>
        <w:t xml:space="preserve">Fonts: AEAT, Cadastre, PICA.</w:t>
      </w:r>
    </w:p>
    <w:p>
      <w:pPr>
        <w:pStyle w:val="Compact"/>
        <w:numPr>
          <w:ilvl w:val="0"/>
          <w:numId w:val="1007"/>
        </w:numPr>
      </w:pPr>
      <w:r>
        <w:t xml:space="preserve">PICA com a interoperabilitat administrativa.</w:t>
      </w:r>
    </w:p>
    <w:p>
      <w:pPr>
        <w:pStyle w:val="Compact"/>
        <w:numPr>
          <w:ilvl w:val="0"/>
          <w:numId w:val="1007"/>
        </w:numPr>
      </w:pPr>
      <w:r>
        <w:t xml:space="preserve">Frase clau: informació administrativa, no API concreta.</w:t>
      </w:r>
    </w:p>
    <w:p>
      <w:pPr>
        <w:pStyle w:val="Compact"/>
        <w:numPr>
          <w:ilvl w:val="0"/>
          <w:numId w:val="1007"/>
        </w:numPr>
      </w:pPr>
      <w:r>
        <w:t xml:space="preserve">Transició: si no separem, apareix dependència directa.</w:t>
      </w:r>
    </w:p>
    <w:bookmarkEnd w:id="28"/>
    <w:bookmarkStart w:id="29" w:name="dependència-directa---210"/>
    <w:p>
      <w:pPr>
        <w:pStyle w:val="Heading3"/>
      </w:pPr>
      <w:r>
        <w:t xml:space="preserve">6. Dependència directa - 2:10</w:t>
      </w:r>
    </w:p>
    <w:p>
      <w:pPr>
        <w:pStyle w:val="Compact"/>
        <w:numPr>
          <w:ilvl w:val="0"/>
          <w:numId w:val="1008"/>
        </w:numPr>
      </w:pPr>
      <w:r>
        <w:t xml:space="preserve">El problema no és PICA; és l’acoblament directe.</w:t>
      </w:r>
    </w:p>
    <w:p>
      <w:pPr>
        <w:pStyle w:val="Compact"/>
        <w:numPr>
          <w:ilvl w:val="0"/>
          <w:numId w:val="1008"/>
        </w:numPr>
      </w:pPr>
      <w:r>
        <w:t xml:space="preserve">Cas d’ús coneix SOAP/XML, DTOs, clients, errors tècnics.</w:t>
      </w:r>
    </w:p>
    <w:p>
      <w:pPr>
        <w:pStyle w:val="Compact"/>
        <w:numPr>
          <w:ilvl w:val="0"/>
          <w:numId w:val="1008"/>
        </w:numPr>
      </w:pPr>
      <w:r>
        <w:t xml:space="preserve">Evolució tecnològica travessa frontera.</w:t>
      </w:r>
    </w:p>
    <w:p>
      <w:pPr>
        <w:pStyle w:val="Compact"/>
        <w:numPr>
          <w:ilvl w:val="0"/>
          <w:numId w:val="1008"/>
        </w:numPr>
      </w:pPr>
      <w:r>
        <w:t xml:space="preserve">Tres riscos: acoblament, manteniment fràgil, continuïtat operativa.</w:t>
      </w:r>
    </w:p>
    <w:p>
      <w:pPr>
        <w:pStyle w:val="Compact"/>
        <w:numPr>
          <w:ilvl w:val="0"/>
          <w:numId w:val="1008"/>
        </w:numPr>
      </w:pPr>
      <w:r>
        <w:t xml:space="preserve">Transició: resposta arquitectònica, port de sortida.</w:t>
      </w:r>
    </w:p>
    <w:bookmarkEnd w:id="29"/>
    <w:bookmarkStart w:id="30" w:name="port-i-adaptador---130"/>
    <w:p>
      <w:pPr>
        <w:pStyle w:val="Heading3"/>
      </w:pPr>
      <w:r>
        <w:t xml:space="preserve">7. Port i adaptador - 1:30</w:t>
      </w:r>
    </w:p>
    <w:p>
      <w:pPr>
        <w:pStyle w:val="Compact"/>
        <w:numPr>
          <w:ilvl w:val="0"/>
          <w:numId w:val="1009"/>
        </w:numPr>
      </w:pPr>
      <w:r>
        <w:t xml:space="preserve">Port = què necessita l’aplicació.</w:t>
      </w:r>
    </w:p>
    <w:p>
      <w:pPr>
        <w:pStyle w:val="Compact"/>
        <w:numPr>
          <w:ilvl w:val="0"/>
          <w:numId w:val="1009"/>
        </w:numPr>
      </w:pPr>
      <w:r>
        <w:t xml:space="preserve">Adaptador = com s’integra tècnicament.</w:t>
      </w:r>
    </w:p>
    <w:p>
      <w:pPr>
        <w:pStyle w:val="Compact"/>
        <w:numPr>
          <w:ilvl w:val="0"/>
          <w:numId w:val="1009"/>
        </w:numPr>
      </w:pPr>
      <w:r>
        <w:t xml:space="preserve">Distingir flux d’execució i dependència de codi.</w:t>
      </w:r>
    </w:p>
    <w:p>
      <w:pPr>
        <w:pStyle w:val="Compact"/>
        <w:numPr>
          <w:ilvl w:val="0"/>
          <w:numId w:val="1009"/>
        </w:numPr>
      </w:pPr>
      <w:r>
        <w:t xml:space="preserve">Inversió: adaptador implementa port; nucli no depèn d’adaptador.</w:t>
      </w:r>
    </w:p>
    <w:p>
      <w:pPr>
        <w:pStyle w:val="Compact"/>
        <w:numPr>
          <w:ilvl w:val="0"/>
          <w:numId w:val="1009"/>
        </w:numPr>
      </w:pPr>
      <w:r>
        <w:t xml:space="preserve">Transició: aplicar-ho al cas patrimonial.</w:t>
      </w:r>
    </w:p>
    <w:bookmarkEnd w:id="30"/>
    <w:bookmarkStart w:id="31" w:name="port-patrimonial---205"/>
    <w:p>
      <w:pPr>
        <w:pStyle w:val="Heading3"/>
      </w:pPr>
      <w:r>
        <w:t xml:space="preserve">8. Port patrimonial - 2:05</w:t>
      </w:r>
    </w:p>
    <w:p>
      <w:pPr>
        <w:pStyle w:val="Compact"/>
        <w:numPr>
          <w:ilvl w:val="0"/>
          <w:numId w:val="1010"/>
        </w:numPr>
      </w:pPr>
      <w:r>
        <w:t xml:space="preserve">Servei d’aplicació depèn de contractes propis.</w:t>
      </w:r>
    </w:p>
    <w:p>
      <w:pPr>
        <w:pStyle w:val="Compact"/>
        <w:numPr>
          <w:ilvl w:val="0"/>
          <w:numId w:val="1010"/>
        </w:numPr>
      </w:pPr>
      <w:r>
        <w:t xml:space="preserve">Adaptadors fora del nucli.</w:t>
      </w:r>
    </w:p>
    <w:p>
      <w:pPr>
        <w:pStyle w:val="Compact"/>
        <w:numPr>
          <w:ilvl w:val="0"/>
          <w:numId w:val="1010"/>
        </w:numPr>
      </w:pPr>
      <w:r>
        <w:t xml:space="preserve">PICA/JDBC/SOAP/REST són detalls substituïbles.</w:t>
      </w:r>
    </w:p>
    <w:p>
      <w:pPr>
        <w:pStyle w:val="Compact"/>
        <w:numPr>
          <w:ilvl w:val="0"/>
          <w:numId w:val="1010"/>
        </w:numPr>
      </w:pPr>
      <w:r>
        <w:t xml:space="preserve">Fletxa correcta d’implementació: adaptador -&gt; port.</w:t>
      </w:r>
    </w:p>
    <w:p>
      <w:pPr>
        <w:pStyle w:val="Compact"/>
        <w:numPr>
          <w:ilvl w:val="0"/>
          <w:numId w:val="1010"/>
        </w:numPr>
      </w:pPr>
      <w:r>
        <w:t xml:space="preserve">Transició: mateix patró en HexaStock.</w:t>
      </w:r>
    </w:p>
    <w:bookmarkEnd w:id="31"/>
    <w:bookmarkStart w:id="32" w:name="hexastock---145"/>
    <w:p>
      <w:pPr>
        <w:pStyle w:val="Heading3"/>
      </w:pPr>
      <w:r>
        <w:t xml:space="preserve">9. HexaStock - 1:45</w:t>
      </w:r>
    </w:p>
    <w:p>
      <w:pPr>
        <w:pStyle w:val="Compact"/>
        <w:numPr>
          <w:ilvl w:val="0"/>
          <w:numId w:val="1011"/>
        </w:numPr>
      </w:pPr>
      <w:r>
        <w:t xml:space="preserve">Domini financer: vendre accions.</w:t>
      </w:r>
    </w:p>
    <w:p>
      <w:pPr>
        <w:pStyle w:val="Compact"/>
        <w:numPr>
          <w:ilvl w:val="0"/>
          <w:numId w:val="1011"/>
        </w:numPr>
      </w:pPr>
      <w:r>
        <w:t xml:space="preserve">Necessitat: preu actual del ticker.</w:t>
      </w:r>
    </w:p>
    <w:p>
      <w:pPr>
        <w:pStyle w:val="Compact"/>
        <w:numPr>
          <w:ilvl w:val="0"/>
          <w:numId w:val="1011"/>
        </w:numPr>
      </w:pPr>
      <w:r>
        <w:t xml:space="preserve">Port:</w:t>
      </w:r>
      <w:r>
        <w:t xml:space="preserve"> </w:t>
      </w:r>
      <w:r>
        <w:rPr>
          <w:rStyle w:val="VerbatimChar"/>
        </w:rPr>
        <w:t xml:space="preserve">StockPriceProviderPort</w:t>
      </w:r>
      <w:r>
        <w:t xml:space="preserve">.</w:t>
      </w:r>
    </w:p>
    <w:p>
      <w:pPr>
        <w:pStyle w:val="Compact"/>
        <w:numPr>
          <w:ilvl w:val="0"/>
          <w:numId w:val="1011"/>
        </w:numPr>
      </w:pPr>
      <w:r>
        <w:t xml:space="preserve">Adaptadors: Finnhub, Alpha Vantage, mock.</w:t>
      </w:r>
    </w:p>
    <w:p>
      <w:pPr>
        <w:pStyle w:val="Compact"/>
        <w:numPr>
          <w:ilvl w:val="0"/>
          <w:numId w:val="1011"/>
        </w:numPr>
      </w:pPr>
      <w:r>
        <w:t xml:space="preserve">Transició: veure el flux i el codi essencial.</w:t>
      </w:r>
    </w:p>
    <w:bookmarkEnd w:id="32"/>
    <w:bookmarkStart w:id="33" w:name="flux-i-codi---145"/>
    <w:p>
      <w:pPr>
        <w:pStyle w:val="Heading3"/>
      </w:pPr>
      <w:r>
        <w:t xml:space="preserve">10. Flux i codi - 1:45</w:t>
      </w:r>
    </w:p>
    <w:p>
      <w:pPr>
        <w:pStyle w:val="Compact"/>
        <w:numPr>
          <w:ilvl w:val="0"/>
          <w:numId w:val="1012"/>
        </w:numPr>
      </w:pPr>
      <w:r>
        <w:t xml:space="preserve">Diagrama de seqüència = flux temporal, no dependència de codi.</w:t>
      </w:r>
    </w:p>
    <w:p>
      <w:pPr>
        <w:pStyle w:val="Compact"/>
        <w:numPr>
          <w:ilvl w:val="0"/>
          <w:numId w:val="1012"/>
        </w:numPr>
      </w:pPr>
      <w:r>
        <w:t xml:space="preserve">Controller -&gt; port d’entrada -&gt; servei.</w:t>
      </w:r>
    </w:p>
    <w:p>
      <w:pPr>
        <w:pStyle w:val="Compact"/>
        <w:numPr>
          <w:ilvl w:val="0"/>
          <w:numId w:val="1012"/>
        </w:numPr>
      </w:pPr>
      <w:r>
        <w:t xml:space="preserve">Servei consulta ports i delega venda al domini.</w:t>
      </w:r>
    </w:p>
    <w:p>
      <w:pPr>
        <w:pStyle w:val="Compact"/>
        <w:numPr>
          <w:ilvl w:val="0"/>
          <w:numId w:val="1012"/>
        </w:numPr>
      </w:pPr>
      <w:r>
        <w:t xml:space="preserve">Domini decideix; adaptador integra.</w:t>
      </w:r>
    </w:p>
    <w:p>
      <w:pPr>
        <w:pStyle w:val="Compact"/>
        <w:numPr>
          <w:ilvl w:val="0"/>
          <w:numId w:val="1012"/>
        </w:numPr>
      </w:pPr>
      <w:r>
        <w:t xml:space="preserve">Transició: demo controlada amb adaptador substituïble.</w:t>
      </w:r>
    </w:p>
    <w:bookmarkEnd w:id="33"/>
    <w:bookmarkStart w:id="34" w:name="demo---145"/>
    <w:p>
      <w:pPr>
        <w:pStyle w:val="Heading3"/>
      </w:pPr>
      <w:r>
        <w:t xml:space="preserve">11. Demo - 1:45</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Utilitat docent: proves sense internet ni claus.</w:t>
      </w:r>
    </w:p>
    <w:p>
      <w:pPr>
        <w:pStyle w:val="Compact"/>
        <w:numPr>
          <w:ilvl w:val="0"/>
          <w:numId w:val="1013"/>
        </w:numPr>
      </w:pPr>
      <w:r>
        <w:t xml:space="preserve">Transició: conclusió final.</w:t>
      </w:r>
    </w:p>
    <w:bookmarkEnd w:id="34"/>
    <w:bookmarkStart w:id="35" w:name="agraïment---120"/>
    <w:p>
      <w:pPr>
        <w:pStyle w:val="Heading3"/>
      </w:pPr>
      <w:r>
        <w:t xml:space="preserve">12. Agraïment - 1:20</w:t>
      </w:r>
    </w:p>
    <w:p>
      <w:pPr>
        <w:pStyle w:val="Compact"/>
        <w:numPr>
          <w:ilvl w:val="0"/>
          <w:numId w:val="1014"/>
        </w:numPr>
      </w:pPr>
      <w:r>
        <w:t xml:space="preserve">Arquitectura no elimina canvi; el localitza.</w:t>
      </w:r>
    </w:p>
    <w:p>
      <w:pPr>
        <w:pStyle w:val="Compact"/>
        <w:numPr>
          <w:ilvl w:val="0"/>
          <w:numId w:val="1014"/>
        </w:numPr>
      </w:pPr>
      <w:r>
        <w:t xml:space="preserve">Canviar adaptador, no cas d’ús ni domini.</w:t>
      </w:r>
    </w:p>
    <w:p>
      <w:pPr>
        <w:pStyle w:val="Compact"/>
        <w:numPr>
          <w:ilvl w:val="0"/>
          <w:numId w:val="1014"/>
        </w:numPr>
      </w:pPr>
      <w:r>
        <w:t xml:space="preserve">Agraïment TecnoCampus.</w:t>
      </w:r>
    </w:p>
    <w:p>
      <w:pPr>
        <w:pStyle w:val="Compact"/>
        <w:numPr>
          <w:ilvl w:val="0"/>
          <w:numId w:val="1014"/>
        </w:numPr>
      </w:pPr>
      <w:r>
        <w:t xml:space="preserve">Agraïment Dr. Josep Roure.</w:t>
      </w:r>
    </w:p>
    <w:p>
      <w:pPr>
        <w:pStyle w:val="Compact"/>
        <w:numPr>
          <w:ilvl w:val="0"/>
          <w:numId w:val="1014"/>
        </w:numPr>
      </w:pPr>
      <w:r>
        <w:t xml:space="preserve">Tancar mirant el tribunal:</w:t>
      </w:r>
      <w:r>
        <w:t xml:space="preserve"> </w:t>
      </w:r>
      <w:r>
        <w:rPr>
          <w:rStyle w:val="VerbatimChar"/>
        </w:rPr>
        <w:t xml:space="preserve">Moltes gràcies</w:t>
      </w:r>
      <w:r>
        <w:t xml:space="preserve">.</w:t>
      </w:r>
    </w:p>
    <w:bookmarkEnd w:id="35"/>
    <w:bookmarkEnd w:id="36"/>
    <w:bookmarkStart w:id="37"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9</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11</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12</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context -&gt; assignatura -&gt; objectiu breu -&gt; procediment -&gt; dada externa -&gt; acoblament -&gt; port -&gt; AGAUR -&gt; HexaStock -&gt; flux -&gt; demo -&gt; conclusió</w:t>
      </w:r>
      <w:r>
        <w:t xml:space="preserve">.</w:t>
      </w:r>
    </w:p>
    <w:bookmarkEnd w:id="37"/>
    <w:bookmarkStart w:id="38"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5"/>
        </w:numPr>
      </w:pPr>
      <w:r>
        <w:t xml:space="preserve">Bloc 1: diapositives 1-3, context, assignatura i objectiu breu.</w:t>
      </w:r>
    </w:p>
    <w:p>
      <w:pPr>
        <w:pStyle w:val="Compact"/>
        <w:numPr>
          <w:ilvl w:val="0"/>
          <w:numId w:val="1015"/>
        </w:numPr>
      </w:pPr>
      <w:r>
        <w:t xml:space="preserve">Bloc 2: diapositives 4-8, cas AGAUR, problema i port de sortida.</w:t>
      </w:r>
    </w:p>
    <w:p>
      <w:pPr>
        <w:pStyle w:val="Compact"/>
        <w:numPr>
          <w:ilvl w:val="0"/>
          <w:numId w:val="1015"/>
        </w:numPr>
      </w:pPr>
      <w:r>
        <w:t xml:space="preserve">Bloc 3: diapositives 9-12, HexaStock, flux,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6"/>
        </w:numPr>
      </w:pPr>
      <w:r>
        <w:t xml:space="preserve">Primera passada: amb guió complet a la mà.</w:t>
      </w:r>
    </w:p>
    <w:p>
      <w:pPr>
        <w:pStyle w:val="Compact"/>
        <w:numPr>
          <w:ilvl w:val="0"/>
          <w:numId w:val="1016"/>
        </w:numPr>
      </w:pPr>
      <w:r>
        <w:t xml:space="preserve">Segona passada: només amb notes del presentador.</w:t>
      </w:r>
    </w:p>
    <w:p>
      <w:pPr>
        <w:pStyle w:val="Compact"/>
        <w:numPr>
          <w:ilvl w:val="0"/>
          <w:numId w:val="1016"/>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8"/>
    <w:bookmarkStart w:id="39" w:name="advertiments-finals"/>
    <w:p>
      <w:pPr>
        <w:pStyle w:val="Heading2"/>
      </w:pPr>
      <w:r>
        <w:t xml:space="preserve">7. Advertiments finals</w:t>
      </w:r>
    </w:p>
    <w:p>
      <w:pPr>
        <w:pStyle w:val="FirstParagraph"/>
      </w:pPr>
      <w:r>
        <w:t xml:space="preserve">Risc de temps: les diapositives 4-10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fletxes: quan el tribunal vegi fletxes cap a fora, aclareix si representen flux d’execució. Quan parlis d’implementació o dependència de codi, la direcció correcta és 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2026-06-30T21:06:58Z</dcterms:created>
  <dcterms:modified xsi:type="dcterms:W3CDTF">2026-06-30T21:06:58Z</dcterms:modified>
</cp:coreProperties>
</file>

<file path=docProps/custom.xml><?xml version="1.0" encoding="utf-8"?>
<Properties xmlns="http://schemas.openxmlformats.org/officeDocument/2006/custom-properties" xmlns:vt="http://schemas.openxmlformats.org/officeDocument/2006/docPropsVTypes"/>
</file>