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6"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1" w:name="guió-oral-complet-imprimible"/>
    <w:p>
      <w:pPr>
        <w:pStyle w:val="Heading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020"/>
    <w:p>
      <w:pPr>
        <w:pStyle w:val="Heading3"/>
      </w:pPr>
      <w:r>
        <w:t xml:space="preserve">Diapositiva 1. Portada - 0:20</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[avançar a la diapositiva 2]</w:t>
      </w:r>
    </w:p>
    <w:bookmarkEnd w:id="9"/>
    <w:bookmarkStart w:id="10" w:name="Xbdbb5b4dd8dac51a8d3eb0ed39358744c7dacae"/>
    <w:p>
      <w:pPr>
        <w:pStyle w:val="Heading3"/>
      </w:pPr>
      <w:r>
        <w:t xml:space="preserve">Diapositiva 2. Una trobada entre dos mons - 1:15</w:t>
      </w:r>
    </w:p>
    <w:p>
      <w:pPr>
        <w:pStyle w:val="FirstParagraph"/>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 [assenyalar la caixa esquerra]</w:t>
      </w:r>
    </w:p>
    <w:p>
      <w:pPr>
        <w:pStyle w:val="BodyText"/>
      </w:pPr>
      <w:r>
        <w:t xml:space="preserve">I de l’altra, el professional: un cas real que ens permet veure com aquests conceptes s’aterren en reptes concrets d’arquitectura de software. [assenyalar la caixa dreta;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 [assenyalar la frase de focus]</w:t>
      </w:r>
    </w:p>
    <w:bookmarkEnd w:id="10"/>
    <w:bookmarkStart w:id="11" w:name="Xe28636d0affee42568e430faecfaa0d7cefc9d4"/>
    <w:p>
      <w:pPr>
        <w:pStyle w:val="Heading3"/>
      </w:pPr>
      <w:r>
        <w:t xml:space="preserve">Diapositiva 3.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1"/>
    <w:bookmarkStart w:id="12" w:name="Xb1bedf2081fb074329a6c0aa2bc4837fcd26096"/>
    <w:p>
      <w:pPr>
        <w:pStyle w:val="Heading3"/>
      </w:pPr>
      <w:r>
        <w:t xml:space="preserve">Diapositiva 4.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2"/>
    <w:bookmarkStart w:id="13" w:name="Xb1c176126e25cc487f84f2d677658c9e0434ef5"/>
    <w:p>
      <w:pPr>
        <w:pStyle w:val="Heading3"/>
      </w:pPr>
      <w:r>
        <w:t xml:space="preserve">Diapositiva 5.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3"/>
    <w:bookmarkStart w:id="14" w:name="X47823d5ee56492317bb78f6ff3ef0910b71caf5"/>
    <w:p>
      <w:pPr>
        <w:pStyle w:val="Heading3"/>
      </w:pPr>
      <w:r>
        <w:t xml:space="preserve">Diapositiva 6.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4"/>
    <w:bookmarkStart w:id="15" w:name="X532652117ed1f980c6580a458223caa4fac3a26"/>
    <w:p>
      <w:pPr>
        <w:pStyle w:val="Heading3"/>
      </w:pPr>
      <w:r>
        <w:t xml:space="preserve">Diapositiva 7.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BodyText"/>
      </w:pPr>
      <w:r>
        <w:t xml:space="preserve">Les tres caixes no representen tres riscos independents. Són tres moments correlacionats d’una mateixa cadena causal. [assenyalar d’esquerra a dreta]</w:t>
      </w:r>
    </w:p>
    <w:p>
      <w:pPr>
        <w:pStyle w:val="BodyText"/>
      </w:pPr>
      <w:r>
        <w:t xml:space="preserve">A l’esquerra hi ha la causa: l’acoblament tecnològic. El cas d’ús incorpora detalls que no pertanyen al llenguatge del procediment, com SOAP/XML, DTOs, clients o codis d’error de PICA.</w:t>
      </w:r>
    </w:p>
    <w:p>
      <w:pPr>
        <w:pStyle w:val="BodyText"/>
      </w:pPr>
      <w:r>
        <w:t xml:space="preserve">Al centre hi ha la propagació: com que aquests detalls han entrat dins la frontera del cas d’ús, una evolució de la integració travessa aquesta frontera i obliga a revisar lògica d’aplicació.</w:t>
      </w:r>
    </w:p>
    <w:p>
      <w:pPr>
        <w:pStyle w:val="BodyText"/>
      </w:pPr>
      <w:r>
        <w:t xml:space="preserve">A la dreta hi ha la conseqüència: augmenta la superfície de codi afectada. Cal modificar i revalidar més comportament i, per això, el manteniment esdevé més fràgil.</w:t>
      </w:r>
    </w:p>
    <w:p>
      <w:pPr>
        <w:pStyle w:val="BodyText"/>
      </w:pPr>
      <w:r>
        <w:t xml:space="preserve">Estem mostrant com un únic acoblament fa que un canvi d’infraestructura es propagui fins al procediment administratiu.</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5"/>
    <w:bookmarkStart w:id="16" w:name="X4a8f5880c7b7ea95bbca297268df499668ea816"/>
    <w:p>
      <w:pPr>
        <w:pStyle w:val="Heading3"/>
      </w:pPr>
      <w:r>
        <w:t xml:space="preserve">Diapositiva 8.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6"/>
    <w:bookmarkStart w:id="17" w:name="X737dde0732fe365d60838ad25365514ba966f4c"/>
    <w:p>
      <w:pPr>
        <w:pStyle w:val="Heading3"/>
      </w:pPr>
      <w:r>
        <w:t xml:space="preserve">Diapositiva 9.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7"/>
    <w:bookmarkStart w:id="18" w:name="X13e5e81559d612cc2069fccca85bb59fa82f5a1"/>
    <w:p>
      <w:pPr>
        <w:pStyle w:val="Heading3"/>
      </w:pPr>
      <w:r>
        <w:t xml:space="preserve">Diapositiva 10.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8"/>
    <w:bookmarkStart w:id="19" w:name="X3d56e29a394b8f26f2e1c08e2877dce228513ea"/>
    <w:p>
      <w:pPr>
        <w:pStyle w:val="Heading3"/>
      </w:pPr>
      <w:r>
        <w:t xml:space="preserve">Diapositiva 11.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9"/>
    <w:bookmarkStart w:id="20" w:name="diapositiva-12.-agraïment---025"/>
    <w:p>
      <w:pPr>
        <w:pStyle w:val="Heading3"/>
      </w:pPr>
      <w:r>
        <w:t xml:space="preserve">Diapositiva 12.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20"/>
    <w:bookmarkEnd w:id="21"/>
    <w:bookmarkStart w:id="23"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2"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2"/>
    <w:bookmarkEnd w:id="23"/>
    <w:bookmarkStart w:id="37" w:name="notes-del-presentador-per-diapositiva"/>
    <w:p>
      <w:pPr>
        <w:pStyle w:val="Heading2"/>
      </w:pPr>
      <w:r>
        <w:t xml:space="preserve">2. Notes del presentador per diapositiva</w:t>
      </w:r>
    </w:p>
    <w:bookmarkStart w:id="24" w:name="portada---020"/>
    <w:p>
      <w:pPr>
        <w:pStyle w:val="Heading3"/>
      </w:pPr>
      <w:r>
        <w:t xml:space="preserve">1. Portada - 0:20</w:t>
      </w:r>
    </w:p>
    <w:p>
      <w:pPr>
        <w:pStyle w:val="Compact"/>
        <w:numPr>
          <w:ilvl w:val="0"/>
          <w:numId w:val="1002"/>
        </w:numPr>
      </w:pPr>
      <w:r>
        <w:t xml:space="preserve">Funció: obrir la microlliçó amb la salutació i el títol de la classe.</w:t>
      </w:r>
    </w:p>
    <w:p>
      <w:pPr>
        <w:pStyle w:val="Compact"/>
        <w:numPr>
          <w:ilvl w:val="0"/>
          <w:numId w:val="1002"/>
        </w:numPr>
      </w:pPr>
      <w:r>
        <w:t xml:space="preserve">Assenyalar el títol; el context s’explica amb la diapositiva 2.</w:t>
      </w:r>
    </w:p>
    <w:p>
      <w:pPr>
        <w:pStyle w:val="Compact"/>
        <w:numPr>
          <w:ilvl w:val="0"/>
          <w:numId w:val="1002"/>
        </w:numPr>
      </w:pPr>
      <w:r>
        <w:t xml:space="preserve">Transició: avançar a la diapositiva</w:t>
      </w:r>
      <w:r>
        <w:t xml:space="preserve"> </w:t>
      </w:r>
      <w:r>
        <w:rPr>
          <w:rStyle w:val="VerbatimChar"/>
        </w:rPr>
        <w:t xml:space="preserve">Una trobada entre dos mons</w:t>
      </w:r>
      <w:r>
        <w:t xml:space="preserve">.</w:t>
      </w:r>
    </w:p>
    <w:bookmarkEnd w:id="24"/>
    <w:bookmarkStart w:id="25" w:name="una-trobada-entre-dos-mons---115"/>
    <w:p>
      <w:pPr>
        <w:pStyle w:val="Heading3"/>
      </w:pPr>
      <w:r>
        <w:t xml:space="preserve">2. Una trobada entre dos mons - 1:15</w:t>
      </w:r>
    </w:p>
    <w:p>
      <w:pPr>
        <w:pStyle w:val="Compact"/>
        <w:numPr>
          <w:ilvl w:val="0"/>
          <w:numId w:val="1003"/>
        </w:numPr>
      </w:pPr>
      <w:r>
        <w:t xml:space="preserve">Funció: contextualitzar la sessió i delimitar-ne el focus.</w:t>
      </w:r>
    </w:p>
    <w:p>
      <w:pPr>
        <w:pStyle w:val="Compact"/>
        <w:numPr>
          <w:ilvl w:val="0"/>
          <w:numId w:val="1003"/>
        </w:numPr>
      </w:pPr>
      <w:r>
        <w:t xml:space="preserve">Context: classe de DSI i cas real acreditat de consultoria per a la Generalitat/AGAUR.</w:t>
      </w:r>
    </w:p>
    <w:p>
      <w:pPr>
        <w:pStyle w:val="Compact"/>
        <w:numPr>
          <w:ilvl w:val="0"/>
          <w:numId w:val="1003"/>
        </w:numPr>
      </w:pPr>
      <w:r>
        <w:t xml:space="preserve">Missatge: trobada entre dimensió acadèmica i professional, sense entrar en detalls interns.</w:t>
      </w:r>
    </w:p>
    <w:p>
      <w:pPr>
        <w:pStyle w:val="Compact"/>
        <w:numPr>
          <w:ilvl w:val="0"/>
          <w:numId w:val="1003"/>
        </w:numPr>
      </w:pPr>
      <w:r>
        <w:t xml:space="preserve">No oblidar: no és una panoràmica completa de l’arquitectura hexagonal.</w:t>
      </w:r>
    </w:p>
    <w:p>
      <w:pPr>
        <w:pStyle w:val="Compact"/>
        <w:numPr>
          <w:ilvl w:val="0"/>
          <w:numId w:val="1003"/>
        </w:numPr>
      </w:pPr>
      <w:r>
        <w:t xml:space="preserve">Frase de focus: dissenyar un port de sortida quan el cas d’ús necessita informació externa.</w:t>
      </w:r>
    </w:p>
    <w:p>
      <w:pPr>
        <w:pStyle w:val="Compact"/>
        <w:numPr>
          <w:ilvl w:val="0"/>
          <w:numId w:val="1003"/>
        </w:numPr>
      </w:pPr>
      <w:r>
        <w:t xml:space="preserve">Transició:</w:t>
      </w:r>
      <w:r>
        <w:t xml:space="preserve"> </w:t>
      </w:r>
      <w:r>
        <w:rPr>
          <w:rStyle w:val="VerbatimChar"/>
        </w:rPr>
        <w:t xml:space="preserve">Situem primer la sessió dins l'assignatura.</w:t>
      </w:r>
    </w:p>
    <w:bookmarkEnd w:id="25"/>
    <w:bookmarkStart w:id="26" w:name="on-som-dins-lassignatura---105"/>
    <w:p>
      <w:pPr>
        <w:pStyle w:val="Heading3"/>
      </w:pPr>
      <w:r>
        <w:t xml:space="preserve">3. On som dins l’assignatura - 1:05</w:t>
      </w:r>
    </w:p>
    <w:p>
      <w:pPr>
        <w:pStyle w:val="Compact"/>
        <w:numPr>
          <w:ilvl w:val="0"/>
          <w:numId w:val="1004"/>
        </w:numPr>
      </w:pPr>
      <w:r>
        <w:t xml:space="preserve">Funció: justificar l’encaix de la sessió en el pla docent.</w:t>
      </w:r>
    </w:p>
    <w:p>
      <w:pPr>
        <w:pStyle w:val="Compact"/>
        <w:numPr>
          <w:ilvl w:val="0"/>
          <w:numId w:val="1004"/>
        </w:numPr>
      </w:pPr>
      <w:r>
        <w:t xml:space="preserve">Assenyalar: DSI, 3r curs i 6 ECTS.</w:t>
      </w:r>
    </w:p>
    <w:p>
      <w:pPr>
        <w:pStyle w:val="Compact"/>
        <w:numPr>
          <w:ilvl w:val="0"/>
          <w:numId w:val="1004"/>
        </w:numPr>
      </w:pPr>
      <w:r>
        <w:t xml:space="preserve">Bloc: Clean Architecture, arquitectura hexagonal, ports i adaptadors, mapping, modularització i DDD.</w:t>
      </w:r>
    </w:p>
    <w:p>
      <w:pPr>
        <w:pStyle w:val="Compact"/>
        <w:numPr>
          <w:ilvl w:val="0"/>
          <w:numId w:val="1004"/>
        </w:numPr>
      </w:pPr>
      <w:r>
        <w:t xml:space="preserve">No convertir la diapositiva en una enumeració llarga del temari: el focus és una decisió concreta sobre ports de sortida.</w:t>
      </w:r>
    </w:p>
    <w:p>
      <w:pPr>
        <w:pStyle w:val="Compact"/>
        <w:numPr>
          <w:ilvl w:val="0"/>
          <w:numId w:val="1004"/>
        </w:numPr>
      </w:pPr>
      <w:r>
        <w:t xml:space="preserve">Transició:</w:t>
      </w:r>
      <w:r>
        <w:t xml:space="preserve"> </w:t>
      </w:r>
      <w:r>
        <w:rPr>
          <w:rStyle w:val="VerbatimChar"/>
        </w:rPr>
        <w:t xml:space="preserve">Amb aquest context, formulem l'objectiu mínim de la sessió.</w:t>
      </w:r>
    </w:p>
    <w:bookmarkEnd w:id="26"/>
    <w:bookmarkStart w:id="27" w:name="objectiu-de-la-sessió---055"/>
    <w:p>
      <w:pPr>
        <w:pStyle w:val="Heading3"/>
      </w:pPr>
      <w:r>
        <w:t xml:space="preserve">4. Objectiu de la sessió - 0:55</w:t>
      </w:r>
    </w:p>
    <w:p>
      <w:pPr>
        <w:pStyle w:val="Compact"/>
        <w:numPr>
          <w:ilvl w:val="0"/>
          <w:numId w:val="1005"/>
        </w:numPr>
      </w:pPr>
      <w:r>
        <w:t xml:space="preserve">Funció: diapositiva pont; passar-hi ràpid i no anticipar tota la teoria.</w:t>
      </w:r>
    </w:p>
    <w:p>
      <w:pPr>
        <w:pStyle w:val="Compact"/>
        <w:numPr>
          <w:ilvl w:val="0"/>
          <w:numId w:val="1005"/>
        </w:numPr>
      </w:pPr>
      <w:r>
        <w:t xml:space="preserve">Frase clau, mirant el tribunal:</w:t>
      </w:r>
      <w:r>
        <w:t xml:space="preserve"> </w:t>
      </w:r>
      <w:r>
        <w:rPr>
          <w:rStyle w:val="VerbatimChar"/>
        </w:rPr>
        <w:t xml:space="preserve">El cas d'ús necessita una capacitat, no una tecnologia.</w:t>
      </w:r>
    </w:p>
    <w:p>
      <w:pPr>
        <w:pStyle w:val="Compact"/>
        <w:numPr>
          <w:ilvl w:val="0"/>
          <w:numId w:val="1005"/>
        </w:numPr>
      </w:pPr>
      <w:r>
        <w:t xml:space="preserve">Assenyalar les tres decisions: identificar necessitat, definir port i implementar adaptador(s).</w:t>
      </w:r>
    </w:p>
    <w:p>
      <w:pPr>
        <w:pStyle w:val="Compact"/>
        <w:numPr>
          <w:ilvl w:val="0"/>
          <w:numId w:val="1005"/>
        </w:numPr>
      </w:pPr>
      <w:r>
        <w:t xml:space="preserve">Metodologia: primer el cas real; després, l’abstracció arquitectònica.</w:t>
      </w:r>
    </w:p>
    <w:p>
      <w:pPr>
        <w:pStyle w:val="Compact"/>
        <w:numPr>
          <w:ilvl w:val="0"/>
          <w:numId w:val="1005"/>
        </w:numPr>
      </w:pPr>
      <w:r>
        <w:t xml:space="preserve">Transició:</w:t>
      </w:r>
      <w:r>
        <w:t xml:space="preserve"> </w:t>
      </w:r>
      <w:r>
        <w:rPr>
          <w:rStyle w:val="VerbatimChar"/>
        </w:rPr>
        <w:t xml:space="preserve">Comencem, per tant, pel procediment de beca.</w:t>
      </w:r>
    </w:p>
    <w:bookmarkEnd w:id="27"/>
    <w:bookmarkStart w:id="28" w:name="avaluació-econòmica---145"/>
    <w:p>
      <w:pPr>
        <w:pStyle w:val="Heading3"/>
      </w:pPr>
      <w:r>
        <w:t xml:space="preserve">5. Avaluació econòmica - 1:45</w:t>
      </w:r>
    </w:p>
    <w:p>
      <w:pPr>
        <w:pStyle w:val="Compact"/>
        <w:numPr>
          <w:ilvl w:val="0"/>
          <w:numId w:val="1006"/>
        </w:numPr>
      </w:pPr>
      <w:r>
        <w:t xml:space="preserve">Funció: establir el problema funcional abans de parlar de tecnologia.</w:t>
      </w:r>
    </w:p>
    <w:p>
      <w:pPr>
        <w:pStyle w:val="Compact"/>
        <w:numPr>
          <w:ilvl w:val="0"/>
          <w:numId w:val="1006"/>
        </w:numPr>
      </w:pPr>
      <w:r>
        <w:t xml:space="preserve">Assenyalar la seqüència: sol·licitud, expedient, requisits, revisió i resolució.</w:t>
      </w:r>
    </w:p>
    <w:p>
      <w:pPr>
        <w:pStyle w:val="Compact"/>
        <w:numPr>
          <w:ilvl w:val="0"/>
          <w:numId w:val="1006"/>
        </w:numPr>
      </w:pPr>
      <w:r>
        <w:t xml:space="preserve">Focus: l’avaluació econòmica necessita renda i patrimoni fiables.</w:t>
      </w:r>
    </w:p>
    <w:p>
      <w:pPr>
        <w:pStyle w:val="Compact"/>
        <w:numPr>
          <w:ilvl w:val="0"/>
          <w:numId w:val="1006"/>
        </w:numPr>
      </w:pPr>
      <w:r>
        <w:t xml:space="preserve">No oblidar: la decisió administrativa i el mecanisme tècnic són nivells diferents.</w:t>
      </w:r>
    </w:p>
    <w:p>
      <w:pPr>
        <w:pStyle w:val="Compact"/>
        <w:numPr>
          <w:ilvl w:val="0"/>
          <w:numId w:val="1006"/>
        </w:numPr>
      </w:pPr>
      <w:r>
        <w:t xml:space="preserve">Evitar encara SOAP, REST, PICA o bases de dades.</w:t>
      </w:r>
    </w:p>
    <w:p>
      <w:pPr>
        <w:pStyle w:val="Compact"/>
        <w:numPr>
          <w:ilvl w:val="0"/>
          <w:numId w:val="1006"/>
        </w:numPr>
      </w:pPr>
      <w:r>
        <w:t xml:space="preserve">Transició:</w:t>
      </w:r>
      <w:r>
        <w:t xml:space="preserve"> </w:t>
      </w:r>
      <w:r>
        <w:rPr>
          <w:rStyle w:val="VerbatimChar"/>
        </w:rPr>
        <w:t xml:space="preserve">Quina informació externa necessita el procediment per prendre aquesta decisió?</w:t>
      </w:r>
    </w:p>
    <w:bookmarkEnd w:id="28"/>
    <w:bookmarkStart w:id="29" w:name="informació-externa---145"/>
    <w:p>
      <w:pPr>
        <w:pStyle w:val="Heading3"/>
      </w:pPr>
      <w:r>
        <w:t xml:space="preserve">6. Informació externa - 1:45</w:t>
      </w:r>
    </w:p>
    <w:p>
      <w:pPr>
        <w:pStyle w:val="Compact"/>
        <w:numPr>
          <w:ilvl w:val="0"/>
          <w:numId w:val="1007"/>
        </w:numPr>
      </w:pPr>
      <w:r>
        <w:t xml:space="preserve">Funció: separar necessitat funcional, font administrativa i canal d’interoperabilitat.</w:t>
      </w:r>
    </w:p>
    <w:p>
      <w:pPr>
        <w:pStyle w:val="Compact"/>
        <w:numPr>
          <w:ilvl w:val="0"/>
          <w:numId w:val="1007"/>
        </w:numPr>
      </w:pPr>
      <w:r>
        <w:t xml:space="preserve">Necessitats: renda, patrimoni i béns immobles.</w:t>
      </w:r>
    </w:p>
    <w:p>
      <w:pPr>
        <w:pStyle w:val="Compact"/>
        <w:numPr>
          <w:ilvl w:val="0"/>
          <w:numId w:val="1007"/>
        </w:numPr>
      </w:pPr>
      <w:r>
        <w:t xml:space="preserve">Fonts: AEAT i Cadastre. Canal corporatiu: PICA.</w:t>
      </w:r>
    </w:p>
    <w:p>
      <w:pPr>
        <w:pStyle w:val="Compact"/>
        <w:numPr>
          <w:ilvl w:val="0"/>
          <w:numId w:val="1007"/>
        </w:numPr>
      </w:pPr>
      <w:r>
        <w:t xml:space="preserve">No presentar PICA com una font original del mateix tipus que AEAT o Cadastre.</w:t>
      </w:r>
    </w:p>
    <w:p>
      <w:pPr>
        <w:pStyle w:val="Compact"/>
        <w:numPr>
          <w:ilvl w:val="0"/>
          <w:numId w:val="1007"/>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7"/>
        </w:numPr>
      </w:pPr>
      <w:r>
        <w:t xml:space="preserve">Transició:</w:t>
      </w:r>
      <w:r>
        <w:t xml:space="preserve"> </w:t>
      </w:r>
      <w:r>
        <w:rPr>
          <w:rStyle w:val="VerbatimChar"/>
        </w:rPr>
        <w:t xml:space="preserve">Quan aquesta separació no es respecta, apareix el problema arquitectònic.</w:t>
      </w:r>
    </w:p>
    <w:bookmarkEnd w:id="29"/>
    <w:bookmarkStart w:id="30" w:name="dependència-directa---220"/>
    <w:p>
      <w:pPr>
        <w:pStyle w:val="Heading3"/>
      </w:pPr>
      <w:r>
        <w:t xml:space="preserve">7. Dependència directa - 2:20</w:t>
      </w:r>
    </w:p>
    <w:p>
      <w:pPr>
        <w:pStyle w:val="Compact"/>
        <w:numPr>
          <w:ilvl w:val="0"/>
          <w:numId w:val="1008"/>
        </w:numPr>
      </w:pPr>
      <w:r>
        <w:t xml:space="preserve">Funció: diagnosticar una cadena causal, no enumerar tres riscos independents.</w:t>
      </w:r>
    </w:p>
    <w:p>
      <w:pPr>
        <w:pStyle w:val="Compact"/>
        <w:numPr>
          <w:ilvl w:val="0"/>
          <w:numId w:val="1008"/>
        </w:numPr>
      </w:pPr>
      <w:r>
        <w:t xml:space="preserve">Assenyalar d’esquerra a dreta: causa (acoblament) -&gt; propagació (el canvi travessa la frontera) -&gt; conseqüència (més codi afectat i manteniment més fràgil).</w:t>
      </w:r>
    </w:p>
    <w:p>
      <w:pPr>
        <w:pStyle w:val="Compact"/>
        <w:numPr>
          <w:ilvl w:val="0"/>
          <w:numId w:val="1008"/>
        </w:numPr>
      </w:pPr>
      <w:r>
        <w:t xml:space="preserve">Idea: un únic acoblament converteix el canvi d’infraestructura en un canvi que arriba al procediment.</w:t>
      </w:r>
    </w:p>
    <w:p>
      <w:pPr>
        <w:pStyle w:val="Compact"/>
        <w:numPr>
          <w:ilvl w:val="0"/>
          <w:numId w:val="1008"/>
        </w:numPr>
      </w:pPr>
      <w:r>
        <w:t xml:space="preserve">No oblidar: el problema no és PICA; és la dependència directa dels seus detalls tècnics.</w:t>
      </w:r>
    </w:p>
    <w:p>
      <w:pPr>
        <w:pStyle w:val="Compact"/>
        <w:numPr>
          <w:ilvl w:val="0"/>
          <w:numId w:val="1008"/>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8"/>
        </w:numPr>
      </w:pPr>
      <w:r>
        <w:t xml:space="preserve">Fer una pausa. Transició:</w:t>
      </w:r>
      <w:r>
        <w:t xml:space="preserve"> </w:t>
      </w:r>
      <w:r>
        <w:rPr>
          <w:rStyle w:val="VerbatimChar"/>
        </w:rPr>
        <w:t xml:space="preserve">La resposta és introduir un port de sortida.</w:t>
      </w:r>
    </w:p>
    <w:bookmarkEnd w:id="30"/>
    <w:bookmarkStart w:id="31" w:name="port-i-adaptador---220"/>
    <w:p>
      <w:pPr>
        <w:pStyle w:val="Heading3"/>
      </w:pPr>
      <w:r>
        <w:t xml:space="preserve">8. Port i adaptador - 2:20</w:t>
      </w:r>
    </w:p>
    <w:p>
      <w:pPr>
        <w:pStyle w:val="Compact"/>
        <w:numPr>
          <w:ilvl w:val="0"/>
          <w:numId w:val="1009"/>
        </w:numPr>
      </w:pPr>
      <w:r>
        <w:t xml:space="preserve">Funció: frontissa conceptual forta; baixar el ritme.</w:t>
      </w:r>
    </w:p>
    <w:p>
      <w:pPr>
        <w:pStyle w:val="Compact"/>
        <w:numPr>
          <w:ilvl w:val="0"/>
          <w:numId w:val="1009"/>
        </w:numPr>
      </w:pPr>
      <w:r>
        <w:t xml:space="preserve">Primera línia: flux d’execució, del cas d’ús cap al sistema extern.</w:t>
      </w:r>
    </w:p>
    <w:p>
      <w:pPr>
        <w:pStyle w:val="Compact"/>
        <w:numPr>
          <w:ilvl w:val="0"/>
          <w:numId w:val="1009"/>
        </w:numPr>
      </w:pPr>
      <w:r>
        <w:t xml:space="preserve">Segona línia: dependència de codi; el cas d’ús depèn del port i l’adaptador implementa el port.</w:t>
      </w:r>
    </w:p>
    <w:p>
      <w:pPr>
        <w:pStyle w:val="Compact"/>
        <w:numPr>
          <w:ilvl w:val="0"/>
          <w:numId w:val="1009"/>
        </w:numPr>
      </w:pPr>
      <w:r>
        <w:t xml:space="preserve">Assenyalar el mini-UML: el port és un contracte; en Java el representem amb una interfície.</w:t>
      </w:r>
    </w:p>
    <w:p>
      <w:pPr>
        <w:pStyle w:val="Compact"/>
        <w:numPr>
          <w:ilvl w:val="0"/>
          <w:numId w:val="1009"/>
        </w:numPr>
      </w:pPr>
      <w:r>
        <w:t xml:space="preserve">Frase clau:</w:t>
      </w:r>
      <w:r>
        <w:t xml:space="preserve"> </w:t>
      </w:r>
      <w:r>
        <w:rPr>
          <w:rStyle w:val="VerbatimChar"/>
        </w:rPr>
        <w:t xml:space="preserve">El servei usa el port; l'adaptador implementa el port.</w:t>
      </w:r>
    </w:p>
    <w:p>
      <w:pPr>
        <w:pStyle w:val="Compact"/>
        <w:numPr>
          <w:ilvl w:val="0"/>
          <w:numId w:val="1009"/>
        </w:numPr>
      </w:pPr>
      <w:r>
        <w:t xml:space="preserve">Inversió: la infraestructura depèn del port definit per l’aplicació.</w:t>
      </w:r>
    </w:p>
    <w:p>
      <w:pPr>
        <w:pStyle w:val="Compact"/>
        <w:numPr>
          <w:ilvl w:val="0"/>
          <w:numId w:val="1009"/>
        </w:numPr>
      </w:pPr>
      <w:r>
        <w:t xml:space="preserve">Transició:</w:t>
      </w:r>
      <w:r>
        <w:t xml:space="preserve"> </w:t>
      </w:r>
      <w:r>
        <w:rPr>
          <w:rStyle w:val="VerbatimChar"/>
        </w:rPr>
        <w:t xml:space="preserve">Apliquem ara aquesta distinció a la informació patrimonial.</w:t>
      </w:r>
    </w:p>
    <w:bookmarkEnd w:id="31"/>
    <w:bookmarkStart w:id="32" w:name="port-patrimonial---145"/>
    <w:p>
      <w:pPr>
        <w:pStyle w:val="Heading3"/>
      </w:pPr>
      <w:r>
        <w:t xml:space="preserve">9. Port patrimonial - 1:45</w:t>
      </w:r>
    </w:p>
    <w:p>
      <w:pPr>
        <w:pStyle w:val="Compact"/>
        <w:numPr>
          <w:ilvl w:val="0"/>
          <w:numId w:val="1010"/>
        </w:numPr>
      </w:pPr>
      <w:r>
        <w:t xml:space="preserve">Funció: aplicar la distinció al cas administratiu.</w:t>
      </w:r>
    </w:p>
    <w:p>
      <w:pPr>
        <w:pStyle w:val="Compact"/>
        <w:numPr>
          <w:ilvl w:val="0"/>
          <w:numId w:val="1010"/>
        </w:numPr>
      </w:pPr>
      <w:r>
        <w:t xml:space="preserve">Nucli: servei d’aplicació i domini; el servei depèn de contractes propis.</w:t>
      </w:r>
    </w:p>
    <w:p>
      <w:pPr>
        <w:pStyle w:val="Compact"/>
        <w:numPr>
          <w:ilvl w:val="0"/>
          <w:numId w:val="1010"/>
        </w:numPr>
      </w:pPr>
      <w:r>
        <w:t xml:space="preserve">Exterior: adaptadors PICA/JDBC i mecanismes SOAP/XML o REST.</w:t>
      </w:r>
    </w:p>
    <w:p>
      <w:pPr>
        <w:pStyle w:val="Compact"/>
        <w:numPr>
          <w:ilvl w:val="0"/>
          <w:numId w:val="1010"/>
        </w:numPr>
      </w:pPr>
      <w:r>
        <w:t xml:space="preserve">Llegir bé les fletxes: el servei usa el port; l’adaptador implementa el port.</w:t>
      </w:r>
    </w:p>
    <w:p>
      <w:pPr>
        <w:pStyle w:val="Compact"/>
        <w:numPr>
          <w:ilvl w:val="0"/>
          <w:numId w:val="1010"/>
        </w:numPr>
      </w:pPr>
      <w:r>
        <w:t xml:space="preserve">No oblidar: el domini no coneix ni PICA ni els adaptadors.</w:t>
      </w:r>
    </w:p>
    <w:p>
      <w:pPr>
        <w:pStyle w:val="Compact"/>
        <w:numPr>
          <w:ilvl w:val="0"/>
          <w:numId w:val="1010"/>
        </w:numPr>
      </w:pPr>
      <w:r>
        <w:t xml:space="preserve">Transició:</w:t>
      </w:r>
      <w:r>
        <w:t xml:space="preserve"> </w:t>
      </w:r>
      <w:r>
        <w:rPr>
          <w:rStyle w:val="VerbatimChar"/>
        </w:rPr>
        <w:t xml:space="preserve">Transferim la mateixa decisió arquitectònica a un domini financer.</w:t>
      </w:r>
    </w:p>
    <w:bookmarkEnd w:id="32"/>
    <w:bookmarkStart w:id="33" w:name="domini-financer---125"/>
    <w:p>
      <w:pPr>
        <w:pStyle w:val="Heading3"/>
      </w:pPr>
      <w:r>
        <w:t xml:space="preserve">10. Domini financer - 1:25</w:t>
      </w:r>
    </w:p>
    <w:p>
      <w:pPr>
        <w:pStyle w:val="Compact"/>
        <w:numPr>
          <w:ilvl w:val="0"/>
          <w:numId w:val="1011"/>
        </w:numPr>
      </w:pPr>
      <w:r>
        <w:t xml:space="preserve">Funció: demostrar que la decisió es transfereix entre dominis.</w:t>
      </w:r>
    </w:p>
    <w:p>
      <w:pPr>
        <w:pStyle w:val="Compact"/>
        <w:numPr>
          <w:ilvl w:val="0"/>
          <w:numId w:val="1011"/>
        </w:numPr>
      </w:pPr>
      <w:r>
        <w:t xml:space="preserve">Canvi explícit: beca -&gt; cartera d’inversió personal.</w:t>
      </w:r>
    </w:p>
    <w:p>
      <w:pPr>
        <w:pStyle w:val="Compact"/>
        <w:numPr>
          <w:ilvl w:val="0"/>
          <w:numId w:val="1011"/>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1"/>
        </w:numPr>
      </w:pPr>
      <w:r>
        <w:t xml:space="preserve">Els adaptadors Finnhub, Alpha Vantage o mock encapsulen APIs concretes.</w:t>
      </w:r>
    </w:p>
    <w:p>
      <w:pPr>
        <w:pStyle w:val="Compact"/>
        <w:numPr>
          <w:ilvl w:val="0"/>
          <w:numId w:val="1011"/>
        </w:numPr>
      </w:pPr>
      <w:r>
        <w:t xml:space="preserve">Frase de repartiment:</w:t>
      </w:r>
      <w:r>
        <w:t xml:space="preserve"> </w:t>
      </w:r>
      <w:r>
        <w:rPr>
          <w:rStyle w:val="VerbatimChar"/>
        </w:rPr>
        <w:t xml:space="preserve">El servei coordina; el domini decideix; l'adaptador integra.</w:t>
      </w:r>
    </w:p>
    <w:p>
      <w:pPr>
        <w:pStyle w:val="Compact"/>
        <w:numPr>
          <w:ilvl w:val="0"/>
          <w:numId w:val="1011"/>
        </w:numPr>
      </w:pPr>
      <w:r>
        <w:t xml:space="preserve">No afirmar substituïbilitat màgica: cal preservar el contracte funcional i la semàntica.</w:t>
      </w:r>
    </w:p>
    <w:p>
      <w:pPr>
        <w:pStyle w:val="Compact"/>
        <w:numPr>
          <w:ilvl w:val="0"/>
          <w:numId w:val="1011"/>
        </w:numPr>
      </w:pPr>
      <w:r>
        <w:t xml:space="preserve">Transició:</w:t>
      </w:r>
      <w:r>
        <w:t xml:space="preserve"> </w:t>
      </w:r>
      <w:r>
        <w:rPr>
          <w:rStyle w:val="VerbatimChar"/>
        </w:rPr>
        <w:t xml:space="preserve">Canvia el domini, però es manté la decisió arquitectònica.</w:t>
      </w:r>
    </w:p>
    <w:bookmarkEnd w:id="33"/>
    <w:bookmarkStart w:id="34" w:name="idea-clau-i-tancament---045"/>
    <w:p>
      <w:pPr>
        <w:pStyle w:val="Heading3"/>
      </w:pPr>
      <w:r>
        <w:t xml:space="preserve">11. Idea clau i tancament - 0:45</w:t>
      </w:r>
    </w:p>
    <w:p>
      <w:pPr>
        <w:pStyle w:val="Compact"/>
        <w:numPr>
          <w:ilvl w:val="0"/>
          <w:numId w:val="1012"/>
        </w:numPr>
      </w:pPr>
      <w:r>
        <w:t xml:space="preserve">Funció: tancar el contingut tècnic, sense introduir res de nou.</w:t>
      </w:r>
    </w:p>
    <w:p>
      <w:pPr>
        <w:pStyle w:val="Compact"/>
        <w:numPr>
          <w:ilvl w:val="0"/>
          <w:numId w:val="1012"/>
        </w:numPr>
      </w:pPr>
      <w:r>
        <w:t xml:space="preserve">Recuperar les tres decisions: necessitat funcional, port i adaptador.</w:t>
      </w:r>
    </w:p>
    <w:p>
      <w:pPr>
        <w:pStyle w:val="Compact"/>
        <w:numPr>
          <w:ilvl w:val="0"/>
          <w:numId w:val="1012"/>
        </w:numPr>
      </w:pPr>
      <w:r>
        <w:t xml:space="preserve">Matís: l’arquitectura no elimina la dependència externa ni tots els canvis; en localitza l’impacte.</w:t>
      </w:r>
    </w:p>
    <w:p>
      <w:pPr>
        <w:pStyle w:val="Compact"/>
        <w:numPr>
          <w:ilvl w:val="0"/>
          <w:numId w:val="1012"/>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2"/>
        </w:numPr>
      </w:pPr>
      <w:r>
        <w:t xml:space="preserve">No fer encara l’agraïment: donar pas net a la diapositiva 12.</w:t>
      </w:r>
    </w:p>
    <w:bookmarkEnd w:id="34"/>
    <w:bookmarkStart w:id="35" w:name="agraïment---025"/>
    <w:p>
      <w:pPr>
        <w:pStyle w:val="Heading3"/>
      </w:pPr>
      <w:r>
        <w:t xml:space="preserve">12. Agraïment - 0:25</w:t>
      </w:r>
    </w:p>
    <w:p>
      <w:pPr>
        <w:pStyle w:val="Compact"/>
        <w:numPr>
          <w:ilvl w:val="0"/>
          <w:numId w:val="1013"/>
        </w:numPr>
      </w:pPr>
      <w:r>
        <w:t xml:space="preserve">Funció: tancament institucional i protocol·lari.</w:t>
      </w:r>
    </w:p>
    <w:p>
      <w:pPr>
        <w:pStyle w:val="Compact"/>
        <w:numPr>
          <w:ilvl w:val="0"/>
          <w:numId w:val="1013"/>
        </w:numPr>
      </w:pPr>
      <w:r>
        <w:t xml:space="preserve">Llegir la frase d’agraïment literal; no resumir-la ni canviar-ne cap paraula.</w:t>
      </w:r>
    </w:p>
    <w:p>
      <w:pPr>
        <w:pStyle w:val="Compact"/>
        <w:numPr>
          <w:ilvl w:val="0"/>
          <w:numId w:val="1013"/>
        </w:numPr>
      </w:pPr>
      <w:r>
        <w:t xml:space="preserve">No afegir noms de persones ni altres agraïments.</w:t>
      </w:r>
    </w:p>
    <w:p>
      <w:pPr>
        <w:pStyle w:val="Compact"/>
        <w:numPr>
          <w:ilvl w:val="0"/>
          <w:numId w:val="1013"/>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3"/>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3"/>
        </w:numPr>
      </w:pPr>
      <w:r>
        <w:t xml:space="preserve">No obrir la demo si el tribunal no la demana o si no hi ha temps explícit.</w:t>
      </w:r>
    </w:p>
    <w:bookmarkEnd w:id="35"/>
    <w:bookmarkStart w:id="36" w:name="annex-a.-demo-opcional---130-a-230-1"/>
    <w:p>
      <w:pPr>
        <w:pStyle w:val="Heading3"/>
      </w:pPr>
      <w:r>
        <w:t xml:space="preserve">Annex A. Demo opcional - 1:30 a 2:30</w:t>
      </w:r>
    </w:p>
    <w:p>
      <w:pPr>
        <w:pStyle w:val="Compact"/>
        <w:numPr>
          <w:ilvl w:val="0"/>
          <w:numId w:val="1014"/>
        </w:numPr>
      </w:pPr>
      <w:r>
        <w:t xml:space="preserve">Funció: verificació pràctica opcional, posterior al tancament formal.</w:t>
      </w:r>
    </w:p>
    <w:p>
      <w:pPr>
        <w:pStyle w:val="Compact"/>
        <w:numPr>
          <w:ilvl w:val="0"/>
          <w:numId w:val="1014"/>
        </w:numPr>
      </w:pPr>
      <w:r>
        <w:t xml:space="preserve">Activar només si el tribunal ho demana o hi ha temps explícit.</w:t>
      </w:r>
    </w:p>
    <w:p>
      <w:pPr>
        <w:pStyle w:val="Compact"/>
        <w:numPr>
          <w:ilvl w:val="0"/>
          <w:numId w:val="1014"/>
        </w:numPr>
      </w:pPr>
      <w:r>
        <w:t xml:space="preserve">Assenyalar: mateix cas d’ús, mateix servei i mateix domini; canvia l’adaptador.</w:t>
      </w:r>
    </w:p>
    <w:p>
      <w:pPr>
        <w:pStyle w:val="Compact"/>
        <w:numPr>
          <w:ilvl w:val="0"/>
          <w:numId w:val="1014"/>
        </w:numPr>
      </w:pPr>
      <w:r>
        <w:t xml:space="preserve">Perfils: Finnhub, Alpha Vantage o mock; són implementacions, no el contracte.</w:t>
      </w:r>
    </w:p>
    <w:p>
      <w:pPr>
        <w:pStyle w:val="Compact"/>
        <w:numPr>
          <w:ilvl w:val="0"/>
          <w:numId w:val="1014"/>
        </w:numPr>
      </w:pPr>
      <w:r>
        <w:t xml:space="preserve">Utilitat docent: provar sense claus reals ni disponibilitat del proveïdor.</w:t>
      </w:r>
    </w:p>
    <w:p>
      <w:pPr>
        <w:pStyle w:val="Compact"/>
        <w:numPr>
          <w:ilvl w:val="0"/>
          <w:numId w:val="1014"/>
        </w:numPr>
      </w:pPr>
      <w:r>
        <w:t xml:space="preserve">Frase clau:</w:t>
      </w:r>
      <w:r>
        <w:t xml:space="preserve"> </w:t>
      </w:r>
      <w:r>
        <w:rPr>
          <w:rStyle w:val="VerbatimChar"/>
        </w:rPr>
        <w:t xml:space="preserve">Canvia la infraestructura; el cas d'ús i el domini romanen estables.</w:t>
      </w:r>
    </w:p>
    <w:p>
      <w:pPr>
        <w:pStyle w:val="Compact"/>
        <w:numPr>
          <w:ilvl w:val="0"/>
          <w:numId w:val="1014"/>
        </w:numPr>
      </w:pPr>
      <w:r>
        <w:t xml:space="preserve">No convertir l’annex en una segona explicació llarga.</w:t>
      </w:r>
    </w:p>
    <w:p>
      <w:r>
        <w:pict>
          <ns1:rect style="width:0;height:1.5pt" ns2:hralign="center" ns2:hrstd="t" ns2:hr="t"/>
        </w:pict>
      </w:r>
    </w:p>
    <w:bookmarkEnd w:id="36"/>
    <w:bookmarkEnd w:id="37"/>
    <w:bookmarkStart w:id="38"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Portada: salutació i títol de la classe</w:t>
            </w:r>
          </w:p>
        </w:tc>
        <w:tc>
          <w:tcPr/>
          <w:p>
            <w:pPr>
              <w:pStyle w:val="Compact"/>
            </w:pPr>
            <w:r>
              <w:t xml:space="preserve">Cap contingut tècnic nou</w:t>
            </w:r>
          </w:p>
        </w:tc>
        <w:tc>
          <w:tcPr/>
          <w:p>
            <w:pPr>
              <w:pStyle w:val="Compact"/>
            </w:pPr>
            <w:r>
              <w:t xml:space="preserve">Inici</w:t>
            </w:r>
          </w:p>
        </w:tc>
        <w:tc>
          <w:tcPr/>
          <w:p>
            <w:pPr>
              <w:pStyle w:val="Compact"/>
            </w:pPr>
            <w:r>
              <w:t xml:space="preserve">Context de la sessió</w:t>
            </w:r>
          </w:p>
        </w:tc>
      </w:tr>
      <w:tr>
        <w:tc>
          <w:tcPr/>
          <w:p>
            <w:pPr>
              <w:pStyle w:val="Compact"/>
            </w:pPr>
            <w:r>
              <w:t xml:space="preserve">2</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Portada</w:t>
            </w:r>
          </w:p>
        </w:tc>
        <w:tc>
          <w:tcPr/>
          <w:p>
            <w:pPr>
              <w:pStyle w:val="Compact"/>
            </w:pPr>
            <w:r>
              <w:t xml:space="preserve">Situar dins DSI</w:t>
            </w:r>
          </w:p>
        </w:tc>
      </w:tr>
      <w:tr>
        <w:tc>
          <w:tcPr/>
          <w:p>
            <w:pPr>
              <w:pStyle w:val="Compact"/>
            </w:pPr>
            <w:r>
              <w:t xml:space="preserve">3</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4</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10</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12</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8"/>
    <w:bookmarkStart w:id="39"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34</w:t>
            </w:r>
          </w:p>
        </w:tc>
        <w:tc>
          <w:tcPr/>
          <w:p>
            <w:pPr>
              <w:pStyle w:val="Compact"/>
            </w:pPr>
            <w:r>
              <w:t xml:space="preserve">0:16</w:t>
            </w:r>
          </w:p>
        </w:tc>
        <w:tc>
          <w:tcPr/>
          <w:p>
            <w:pPr>
              <w:pStyle w:val="Compact"/>
            </w:pPr>
            <w:r>
              <w:t xml:space="preserve">0:16</w:t>
            </w:r>
          </w:p>
        </w:tc>
        <w:tc>
          <w:tcPr/>
          <w:p>
            <w:pPr>
              <w:pStyle w:val="Compact"/>
            </w:pPr>
            <w:r>
              <w:t xml:space="preserve">0:15</w:t>
            </w:r>
          </w:p>
        </w:tc>
        <w:tc>
          <w:tcPr/>
          <w:p>
            <w:pPr>
              <w:pStyle w:val="Compact"/>
            </w:pPr>
            <w:r>
              <w:t xml:space="preserve">0:16</w:t>
            </w:r>
          </w:p>
        </w:tc>
      </w:tr>
      <w:tr>
        <w:tc>
          <w:tcPr/>
          <w:p>
            <w:pPr>
              <w:pStyle w:val="Compact"/>
            </w:pPr>
            <w:r>
              <w:t xml:space="preserve">2</w:t>
            </w:r>
          </w:p>
        </w:tc>
        <w:tc>
          <w:tcPr/>
          <w:p>
            <w:pPr>
              <w:pStyle w:val="Compact"/>
            </w:pPr>
            <w:r>
              <w:t xml:space="preserve">Una trobada entre dos mons</w:t>
            </w:r>
          </w:p>
        </w:tc>
        <w:tc>
          <w:tcPr/>
          <w:p>
            <w:pPr>
              <w:pStyle w:val="Compact"/>
            </w:pPr>
            <w:r>
              <w:t xml:space="preserve">143</w:t>
            </w:r>
          </w:p>
        </w:tc>
        <w:tc>
          <w:tcPr/>
          <w:p>
            <w:pPr>
              <w:pStyle w:val="Compact"/>
            </w:pPr>
            <w:r>
              <w:t xml:space="preserve">1:09</w:t>
            </w:r>
          </w:p>
        </w:tc>
        <w:tc>
          <w:tcPr/>
          <w:p>
            <w:pPr>
              <w:pStyle w:val="Compact"/>
            </w:pPr>
            <w:r>
              <w:t xml:space="preserve">1:06</w:t>
            </w:r>
          </w:p>
        </w:tc>
        <w:tc>
          <w:tcPr/>
          <w:p>
            <w:pPr>
              <w:pStyle w:val="Compact"/>
            </w:pPr>
            <w:r>
              <w:t xml:space="preserve">1:04</w:t>
            </w:r>
          </w:p>
        </w:tc>
        <w:tc>
          <w:tcPr/>
          <w:p>
            <w:pPr>
              <w:pStyle w:val="Compact"/>
            </w:pPr>
            <w:r>
              <w:t xml:space="preserve">1:22</w:t>
            </w:r>
          </w:p>
        </w:tc>
      </w:tr>
      <w:tr>
        <w:tc>
          <w:tcPr/>
          <w:p>
            <w:pPr>
              <w:pStyle w:val="Compact"/>
            </w:pPr>
            <w:r>
              <w:t xml:space="preserve">3</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4</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5</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6</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7</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8</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9</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10</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11</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12</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7 afegeix aproximadament 0:45 respecte de la versió anterior. La separació de la portada i el context en dues diapositives reparteix les mateixes 177 paraules i afegeix només un canvi de diapositiva, sense impacte apreciable en el temps total. Nova estimació prudent amb pauses reals: 17:05-18:30. Marge respecte dels 20 minuts: aproximadament 1:30-2:55, pendent de validació amb assaig oral real.</w:t>
      </w:r>
    </w:p>
    <w:p>
      <w:r>
        <w:pict>
          <ns1:rect style="width:0;height:1.5pt" ns2:hralign="center" ns2:hrstd="t" ns2:hr="t"/>
        </w:pict>
      </w:r>
    </w:p>
    <w:bookmarkEnd w:id="39"/>
    <w:bookmarkStart w:id="44" w:name="pla-dentrenament-comunicatiu"/>
    <w:p>
      <w:pPr>
        <w:pStyle w:val="Heading2"/>
      </w:pPr>
      <w:r>
        <w:t xml:space="preserve">5. Pla d’entrenament comunicatiu</w:t>
      </w:r>
    </w:p>
    <w:bookmarkStart w:id="40"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40"/>
    <w:bookmarkStart w:id="41"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5"/>
        </w:numPr>
      </w:pPr>
      <w:r>
        <w:t xml:space="preserve">Bloc 1: diapositives 1-4, portada, context, assignatura i objectiu breu.</w:t>
      </w:r>
    </w:p>
    <w:p>
      <w:pPr>
        <w:pStyle w:val="Compact"/>
        <w:numPr>
          <w:ilvl w:val="0"/>
          <w:numId w:val="1015"/>
        </w:numPr>
      </w:pPr>
      <w:r>
        <w:t xml:space="preserve">Bloc 2: diapositives 5-9, cas AGAUR, problema i port de sortida.</w:t>
      </w:r>
    </w:p>
    <w:p>
      <w:pPr>
        <w:pStyle w:val="Compact"/>
        <w:numPr>
          <w:ilvl w:val="0"/>
          <w:numId w:val="1015"/>
        </w:numPr>
      </w:pPr>
      <w:r>
        <w:t xml:space="preserve">Bloc 3: diapositives 10-12, domini financer, conclusió tècnica i agraïment.</w:t>
      </w:r>
    </w:p>
    <w:p>
      <w:pPr>
        <w:pStyle w:val="Compact"/>
        <w:numPr>
          <w:ilvl w:val="0"/>
          <w:numId w:val="1015"/>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41"/>
    <w:bookmarkStart w:id="42"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6"/>
        </w:numPr>
      </w:pPr>
      <w:r>
        <w:t xml:space="preserve">Primera passada: amb guió complet a la mà.</w:t>
      </w:r>
    </w:p>
    <w:p>
      <w:pPr>
        <w:pStyle w:val="Compact"/>
        <w:numPr>
          <w:ilvl w:val="0"/>
          <w:numId w:val="1016"/>
        </w:numPr>
      </w:pPr>
      <w:r>
        <w:t xml:space="preserve">Segona passada: només amb notes del presentador.</w:t>
      </w:r>
    </w:p>
    <w:p>
      <w:pPr>
        <w:pStyle w:val="Compact"/>
        <w:numPr>
          <w:ilvl w:val="0"/>
          <w:numId w:val="1016"/>
        </w:numPr>
      </w:pPr>
      <w:r>
        <w:t xml:space="preserve">Tercera passada: només amb l’esquema de memorització.</w:t>
      </w:r>
    </w:p>
    <w:p>
      <w:pPr>
        <w:pStyle w:val="FirstParagraph"/>
      </w:pPr>
      <w:r>
        <w:t xml:space="preserve">Grava una passada en vídeo. Revisa només quatre indicadors: si mires massa la pantalla, si acceleres a les diapositives 7-10,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2"/>
    <w:bookmarkStart w:id="43" w:name="ritme-veu-i-cos"/>
    <w:p>
      <w:pPr>
        <w:pStyle w:val="Heading3"/>
      </w:pPr>
      <w:r>
        <w:t xml:space="preserve">Ritme, veu i cos</w:t>
      </w:r>
    </w:p>
    <w:p>
      <w:pPr>
        <w:pStyle w:val="FirstParagraph"/>
      </w:pPr>
      <w:r>
        <w:t xml:space="preserve">Mantingues un to més lent a les diapositives 4,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3"/>
    <w:bookmarkEnd w:id="44"/>
    <w:bookmarkStart w:id="45" w:name="advertiments-finals"/>
    <w:p>
      <w:pPr>
        <w:pStyle w:val="Heading2"/>
      </w:pPr>
      <w:r>
        <w:t xml:space="preserve">6. Advertiments finals</w:t>
      </w:r>
    </w:p>
    <w:p>
      <w:pPr>
        <w:pStyle w:val="FirstParagraph"/>
      </w:pPr>
      <w:r>
        <w:t xml:space="preserve">Risc de temps: les diapositives 5-10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5"/>
    <w:bookmarkEnd w:id="46"/>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2026-07-16T18:15:09Z</dcterms:created>
  <dcterms:modified xsi:type="dcterms:W3CDTF">2026-07-16T18:15:09Z</dcterms:modified>
</cp:coreProperties>
</file>

<file path=docProps/custom.xml><?xml version="1.0" encoding="utf-8"?>
<Properties xmlns="http://schemas.openxmlformats.org/officeDocument/2006/custom-properties" xmlns:vt="http://schemas.openxmlformats.org/officeDocument/2006/docPropsVTypes"/>
</file>