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42"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BodyText"/>
      </w:pPr>
      <w:r>
        <w:t xml:space="preserve">Nota de versió: la demo queda fora del cos principal de la classe. El tancament formal és la diapositiva</w:t>
      </w:r>
      <w:r>
        <w:t xml:space="preserve"> </w:t>
      </w:r>
      <w:r>
        <w:rPr>
          <w:rStyle w:val="VerbatimChar"/>
        </w:rPr>
        <w:t xml:space="preserve">Idea clau i tancament</w:t>
      </w:r>
      <w:r>
        <w:t xml:space="preserve">. La demo es conserva com a annex opcional, només per activar-la si el tribunal la demana o si hi ha temps explícitament disponible després del tancament.</w:t>
      </w:r>
    </w:p>
    <w:p>
      <w:r>
        <w:pict>
          <ns1:rect style="width:0;height:1.5pt" ns2:hralign="center" ns2:hrstd="t" ns2:hr="t"/>
        </w:pict>
      </w:r>
    </w:p>
    <w:bookmarkStart w:id="19" w:name="guió-oral-complet-imprimible"/>
    <w:p>
      <w:pPr>
        <w:pStyle w:val="Heading2"/>
      </w:pPr>
      <w:r>
        <w:t xml:space="preserve">1. Guió oral complet imprimible</w:t>
      </w:r>
    </w:p>
    <w:p>
      <w:pPr>
        <w:pStyle w:val="FirstParagraph"/>
      </w:pPr>
      <w:r>
        <w:t xml:space="preserve">Temps total previst d’assaig del cos principal: aproximadament 16:00-17:15, sense demo en viu. La lectura neta del text queda al voltant de 12:00-13:00 segons el ritme; la validació definitiva s’ha de fer amb assaig oral real.</w:t>
      </w:r>
    </w:p>
    <w:p>
      <w:pPr>
        <w:pStyle w:val="BodyText"/>
      </w:pPr>
      <w:r>
        <w:t xml:space="preserve">La demo no forma part del temps canònic de la classe. S’ha de considerar un annex opcional posterior al tancament.</w:t>
      </w:r>
    </w:p>
    <w:bookmarkStart w:id="9" w:name="diapositiva-1.-portada---135"/>
    <w:p>
      <w:pPr>
        <w:pStyle w:val="Heading3"/>
      </w:pPr>
      <w:r>
        <w:t xml:space="preserve">Diapositiva 1. Portada - 1:35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BodyText"/>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 molt enriquidor plantejar aquesta sessió com una trobada entre dos mons.</w:t>
      </w:r>
    </w:p>
    <w:p>
      <w:pPr>
        <w:pStyle w:val="BodyText"/>
      </w:pPr>
      <w:r>
        <w:t xml:space="preserve">D’una banda, l’acadèmic: l’assignatura de Disseny de Sistemes d’Informació, on treballem conceptes com arquitectura hexagonal, ports, adaptadors i inversió de dependències.</w:t>
      </w:r>
    </w:p>
    <w:p>
      <w:pPr>
        <w:pStyle w:val="BodyText"/>
      </w:pPr>
      <w:r>
        <w:t xml:space="preserve">I de l’altra, el professional: un cas real que ens permet veure com aquests conceptes s’aterren en reptes concrets d’arquitectura de software.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Heading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específica. [mirar el tribunal]</w:t>
      </w:r>
    </w:p>
    <w:p>
      <w:pPr>
        <w:pStyle w:val="BodyText"/>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Heading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Heading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BodyText"/>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BodyText"/>
      </w:pPr>
      <w:r>
        <w:t xml:space="preserve">Quan aquesta separació no es respecta, apareix el problema arquitectònic que veurem ara.</w:t>
      </w:r>
    </w:p>
    <w:bookmarkEnd w:id="13"/>
    <w:bookmarkStart w:id="14" w:name="Xef277339b9bbac09350e539c95ba9caf6c86f97"/>
    <w:p>
      <w:pPr>
        <w:pStyle w:val="Heading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BodyText"/>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4"/>
    <w:bookmarkStart w:id="15" w:name="Xa64d3085c9800517858e9bbb9c52cb4bb4814e5"/>
    <w:p>
      <w:pPr>
        <w:pStyle w:val="Heading3"/>
      </w:pPr>
      <w:r>
        <w:t xml:space="preserve">Diapositiva 7. Port de sortida i adaptador - 2:20</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w:t>
      </w:r>
      <w:r>
        <w:t xml:space="preserve"> </w:t>
      </w:r>
      <w:r>
        <w:t xml:space="preserve">[assenyalar la primera línia]</w:t>
      </w:r>
    </w:p>
    <w:p>
      <w:pPr>
        <w:pStyle w:val="BodyText"/>
      </w:pPr>
      <w:r>
        <w:t xml:space="preserve">Una altra cosa és la dependència de codi: el cas d’ús depèn del port, i l’adaptador implementa aquest port.</w:t>
      </w:r>
      <w:r>
        <w:t xml:space="preserve"> </w:t>
      </w:r>
      <w:r>
        <w:t xml:space="preserve">[assenyalar la segona línia]</w:t>
      </w:r>
    </w:p>
    <w:p>
      <w:pPr>
        <w:pStyle w:val="BodyText"/>
      </w:pPr>
      <w:r>
        <w:t xml:space="preserve">Per situar bé el concepte, quan aquí parlem d’un port no estem parlant d’un element físic ni d’un detall d’infraestructura. Conceptualment, el port és un contracte; en aquesta implementació Java, el representem amb una interfície.</w:t>
      </w:r>
    </w:p>
    <w:p>
      <w:pPr>
        <w:pStyle w:val="BodyText"/>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BodyText"/>
      </w:pPr>
      <w:r>
        <w:t xml:space="preserve">Després, l’adaptador és la peça que implementa aquesta interfície i sap com anar realment a buscar aquella informació al sistema extern corresponent.</w:t>
      </w:r>
    </w:p>
    <w:p>
      <w:pPr>
        <w:pStyle w:val="BodyText"/>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BodyText"/>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BodyText"/>
      </w:pPr>
      <w:r>
        <w:t xml:space="preserve">Aquesta és la inversió de dependències: la infraestructura depèn del port definit per l’aplicació, no a l’inrevés.</w:t>
      </w:r>
      <w:r>
        <w:t xml:space="preserve"> </w:t>
      </w:r>
      <w:r>
        <w:t xml:space="preserve">[mirada al tribunal]</w:t>
      </w:r>
    </w:p>
    <w:p>
      <w:pPr>
        <w:pStyle w:val="BodyText"/>
      </w:pPr>
      <w:r>
        <w:t xml:space="preserve">Amb aquesta idea clara, ara podem portar el patró al cas administratiu.</w:t>
      </w:r>
    </w:p>
    <w:bookmarkEnd w:id="15"/>
    <w:bookmarkStart w:id="16" w:name="X03bf5d2bd196b04e61c9020dfe27fee6ad69815"/>
    <w:p>
      <w:pPr>
        <w:pStyle w:val="Heading3"/>
      </w:pPr>
      <w:r>
        <w:t xml:space="preserve">Diapositiva 8. Port de sortida per a informació patrimonial - 1:45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BodyText"/>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al domini financer: una aplicació de gestió d’una cartera d’inversió personal.</w:t>
      </w:r>
    </w:p>
    <w:bookmarkEnd w:id="16"/>
    <w:bookmarkStart w:id="17" w:name="X622b1aabebf27347556ce6d9dffa831cb77da68"/>
    <w:p>
      <w:pPr>
        <w:pStyle w:val="Heading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BodyText"/>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BodyText"/>
      </w:pPr>
      <w:r>
        <w:t xml:space="preserve">Els adaptadors de Finnhub, Alpha Vantage o un adaptador mock implementen aquest mateix contracte i encapsulen els detalls de cada integració.</w:t>
      </w:r>
    </w:p>
    <w:p>
      <w:pPr>
        <w:pStyle w:val="BodyText"/>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BodyText"/>
      </w:pPr>
      <w:r>
        <w:t xml:space="preserve">Canvia el domini, però es manté la decisió arquitectònica: primer identifiquem la necessitat funcional, després definim el port i finalment resolem la integració. [pausa breu]</w:t>
      </w:r>
    </w:p>
    <w:p>
      <w:pPr>
        <w:pStyle w:val="BodyText"/>
      </w:pPr>
      <w:r>
        <w:t xml:space="preserve">La substitució és viable mentre es mantinguin el contracte funcional i la semàntica que necessita l’aplicació.</w:t>
      </w:r>
    </w:p>
    <w:p>
      <w:pPr>
        <w:pStyle w:val="BodyText"/>
      </w:pPr>
      <w:r>
        <w:t xml:space="preserve">Amb això podem tancar la classe recuperant les tres decisions essencials.</w:t>
      </w:r>
    </w:p>
    <w:bookmarkEnd w:id="17"/>
    <w:bookmarkStart w:id="18" w:name="Xd7a871bbbb87ae38038ffeeabaa31c977e7d330"/>
    <w:p>
      <w:pPr>
        <w:pStyle w:val="Heading3"/>
      </w:pPr>
      <w:r>
        <w:t xml:space="preserve">Diapositiva 10. Idea clau i tancament - 0:55</w:t>
      </w:r>
    </w:p>
    <w:p>
      <w:pPr>
        <w:pStyle w:val="FirstParagraph"/>
      </w:pPr>
      <w:r>
        <w:t xml:space="preserve">Per tancar, voldria recuperar les tres decisions que hem treballat.</w:t>
      </w:r>
    </w:p>
    <w:p>
      <w:pPr>
        <w:pStyle w:val="BodyText"/>
      </w:pPr>
      <w:r>
        <w:t xml:space="preserve">Primer, el cas d’ús expressa una necessitat funcional, no una tecnologia concreta. Segon, el port defineix el contracte que necessita l’aplicació. I tercer, l’adaptador encapsula la integració amb el sistema extern.</w:t>
      </w:r>
    </w:p>
    <w:p>
      <w:pPr>
        <w:pStyle w:val="BodyText"/>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BodyText"/>
      </w:pPr>
      <w:r>
        <w:t xml:space="preserve">Vull expressar el meu agraïment al TecnoCampus per aquest entorn docent i acadèmic, i al Dr. Josep Roure pel treball compartit en arquitectura de software i metodologies actives.</w:t>
      </w:r>
    </w:p>
    <w:p>
      <w:pPr>
        <w:pStyle w:val="BodyText"/>
      </w:pPr>
      <w:r>
        <w:t xml:space="preserve">Moltes gràcies.</w:t>
      </w:r>
    </w:p>
    <w:p>
      <w:r>
        <w:pict>
          <ns1:rect style="width:0;height:1.5pt" ns2:hralign="center" ns2:hrstd="t" ns2:hr="t"/>
        </w:pict>
      </w:r>
    </w:p>
    <w:bookmarkEnd w:id="18"/>
    <w:bookmarkEnd w:id="19"/>
    <w:bookmarkStart w:id="21" w:name="annex-a.-demo-opcional"/>
    <w:p>
      <w:pPr>
        <w:pStyle w:val="Heading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0" w:name="annex-a.-demo-opcional---130-a-230"/>
    <w:p>
      <w:pPr>
        <w:pStyle w:val="Heading3"/>
      </w:pPr>
      <w:r>
        <w:t xml:space="preserve">Annex A. Demo opcional - 1:30 a 2:30</w:t>
      </w:r>
    </w:p>
    <w:p>
      <w:pPr>
        <w:pStyle w:val="FirstParagraph"/>
      </w:pPr>
      <w:r>
        <w:t xml:space="preserve">Si es vol veure la translació pràctica d’aquesta idea, tinc preparada una demo molt breu amb HexaStock.</w:t>
      </w:r>
    </w:p>
    <w:p>
      <w:pPr>
        <w:pStyle w:val="BodyText"/>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p>
      <w:r>
        <w:pict>
          <ns1:rect style="width:0;height:1.5pt" ns2:hralign="center" ns2:hrstd="t" ns2:hr="t"/>
        </w:pict>
      </w:r>
    </w:p>
    <w:bookmarkEnd w:id="20"/>
    <w:bookmarkEnd w:id="21"/>
    <w:bookmarkStart w:id="33" w:name="notes-del-presentador-per-diapositiva"/>
    <w:p>
      <w:pPr>
        <w:pStyle w:val="Heading2"/>
      </w:pPr>
      <w:r>
        <w:t xml:space="preserve">2. Notes del presentador per diapositiva</w:t>
      </w:r>
    </w:p>
    <w:bookmarkStart w:id="22" w:name="portada---135"/>
    <w:p>
      <w:pPr>
        <w:pStyle w:val="Heading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el món acadèmic i el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2"/>
    <w:bookmarkStart w:id="23" w:name="on-som-dins-lassignatura---105"/>
    <w:p>
      <w:pPr>
        <w:pStyle w:val="Heading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3"/>
    <w:bookmarkStart w:id="24" w:name="objectiu-de-la-sessió---055"/>
    <w:p>
      <w:pPr>
        <w:pStyle w:val="Heading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4"/>
    <w:bookmarkStart w:id="25" w:name="avaluació-econòmica---145"/>
    <w:p>
      <w:pPr>
        <w:pStyle w:val="Heading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5"/>
    <w:bookmarkStart w:id="26" w:name="informació-externa---145"/>
    <w:p>
      <w:pPr>
        <w:pStyle w:val="Heading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6"/>
    <w:bookmarkStart w:id="27" w:name="dependència-directa---155"/>
    <w:p>
      <w:pPr>
        <w:pStyle w:val="Heading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7"/>
    <w:bookmarkStart w:id="28" w:name="port-i-adaptador---220"/>
    <w:p>
      <w:pPr>
        <w:pStyle w:val="Heading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8"/>
    <w:bookmarkStart w:id="29" w:name="port-patrimonial---145"/>
    <w:p>
      <w:pPr>
        <w:pStyle w:val="Heading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29"/>
    <w:bookmarkStart w:id="30" w:name="domini-financer---125"/>
    <w:p>
      <w:pPr>
        <w:pStyle w:val="Heading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Cas d’ús: vendre accions.</w:t>
      </w:r>
    </w:p>
    <w:p>
      <w:pPr>
        <w:pStyle w:val="Compact"/>
        <w:numPr>
          <w:ilvl w:val="0"/>
          <w:numId w:val="1010"/>
        </w:numPr>
      </w:pPr>
      <w:r>
        <w:t xml:space="preserve">Necessitat: preu actual de l’acció.</w:t>
      </w:r>
    </w:p>
    <w:p>
      <w:pPr>
        <w:pStyle w:val="Compact"/>
        <w:numPr>
          <w:ilvl w:val="0"/>
          <w:numId w:val="1010"/>
        </w:numPr>
      </w:pPr>
      <w:r>
        <w:t xml:space="preserve">Port de sortida:</w:t>
      </w:r>
      <w:r>
        <w:t xml:space="preserve"> </w:t>
      </w:r>
      <w:r>
        <w:rPr>
          <w:rStyle w:val="VerbatimChar"/>
        </w:rPr>
        <w:t xml:space="preserve">StockPriceProviderPort</w:t>
      </w:r>
      <w:r>
        <w:t xml:space="preserve">.</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Servei d’aplicació coordina consulta del preu i recuperació de cartera.</w:t>
      </w:r>
    </w:p>
    <w:p>
      <w:pPr>
        <w:pStyle w:val="Compact"/>
        <w:numPr>
          <w:ilvl w:val="0"/>
          <w:numId w:val="1010"/>
        </w:numPr>
      </w:pPr>
      <w:r>
        <w:t xml:space="preserve">Domini decideix; adaptador integra.</w:t>
      </w:r>
    </w:p>
    <w:p>
      <w:pPr>
        <w:pStyle w:val="Compact"/>
        <w:numPr>
          <w:ilvl w:val="0"/>
          <w:numId w:val="1010"/>
        </w:numPr>
      </w:pPr>
      <w:r>
        <w:t xml:space="preserve">Transició: conclusió tècnica.</w:t>
      </w:r>
    </w:p>
    <w:bookmarkEnd w:id="30"/>
    <w:bookmarkStart w:id="31" w:name="idea-clau-i-tancament---055"/>
    <w:p>
      <w:pPr>
        <w:pStyle w:val="Heading3"/>
      </w:pPr>
      <w:r>
        <w:t xml:space="preserve">10. Idea clau i tancament - 0:55</w:t>
      </w:r>
    </w:p>
    <w:p>
      <w:pPr>
        <w:pStyle w:val="Compact"/>
        <w:numPr>
          <w:ilvl w:val="0"/>
          <w:numId w:val="1011"/>
        </w:numPr>
      </w:pPr>
      <w:r>
        <w:t xml:space="preserve">Tres decisions: necessitat funcional, port i adaptador.</w:t>
      </w:r>
    </w:p>
    <w:p>
      <w:pPr>
        <w:pStyle w:val="Compact"/>
        <w:numPr>
          <w:ilvl w:val="0"/>
          <w:numId w:val="1011"/>
        </w:numPr>
      </w:pPr>
      <w:r>
        <w:t xml:space="preserve">El cas d’ús expressa una necessitat funcional.</w:t>
      </w:r>
    </w:p>
    <w:p>
      <w:pPr>
        <w:pStyle w:val="Compact"/>
        <w:numPr>
          <w:ilvl w:val="0"/>
          <w:numId w:val="1011"/>
        </w:numPr>
      </w:pPr>
      <w:r>
        <w:t xml:space="preserve">El port defineix el contracte de l’aplicació.</w:t>
      </w:r>
    </w:p>
    <w:p>
      <w:pPr>
        <w:pStyle w:val="Compact"/>
        <w:numPr>
          <w:ilvl w:val="0"/>
          <w:numId w:val="1011"/>
        </w:numPr>
      </w:pPr>
      <w:r>
        <w:t xml:space="preserve">L’adaptador encapsula la integració externa.</w:t>
      </w:r>
    </w:p>
    <w:p>
      <w:pPr>
        <w:pStyle w:val="Compact"/>
        <w:numPr>
          <w:ilvl w:val="0"/>
          <w:numId w:val="1011"/>
        </w:numPr>
      </w:pPr>
      <w:r>
        <w:t xml:space="preserve">Frase clau: l’arquitectura no elimina el canvi; el localitza.</w:t>
      </w:r>
    </w:p>
    <w:p>
      <w:pPr>
        <w:pStyle w:val="Compact"/>
        <w:numPr>
          <w:ilvl w:val="0"/>
          <w:numId w:val="1011"/>
        </w:numPr>
      </w:pPr>
      <w:r>
        <w:t xml:space="preserve">Agraïment breu al TecnoCampus i al Dr. Josep Roure.</w:t>
      </w:r>
    </w:p>
    <w:p>
      <w:pPr>
        <w:pStyle w:val="Compact"/>
        <w:numPr>
          <w:ilvl w:val="0"/>
          <w:numId w:val="1011"/>
        </w:numPr>
      </w:pPr>
      <w:r>
        <w:t xml:space="preserve">Tancar mirant el tribunal:</w:t>
      </w:r>
      <w:r>
        <w:t xml:space="preserve"> </w:t>
      </w:r>
      <w:r>
        <w:rPr>
          <w:rStyle w:val="VerbatimChar"/>
        </w:rPr>
        <w:t xml:space="preserve">Moltes gràcies</w:t>
      </w:r>
      <w:r>
        <w:t xml:space="preserve">.</w:t>
      </w:r>
    </w:p>
    <w:p>
      <w:pPr>
        <w:pStyle w:val="Compact"/>
        <w:numPr>
          <w:ilvl w:val="0"/>
          <w:numId w:val="1011"/>
        </w:numPr>
      </w:pPr>
      <w:r>
        <w:t xml:space="preserve">No obrir la demo després del tancament si el tribunal no la demana o si no hi ha temps clar.</w:t>
      </w:r>
    </w:p>
    <w:bookmarkEnd w:id="31"/>
    <w:bookmarkStart w:id="32" w:name="annex-a.-demo-opcional---130-a-230-1"/>
    <w:p>
      <w:pPr>
        <w:pStyle w:val="Heading3"/>
      </w:pPr>
      <w:r>
        <w:t xml:space="preserve">Annex A. Demo opcional - 1:30 a 2:30</w:t>
      </w:r>
    </w:p>
    <w:p>
      <w:pPr>
        <w:pStyle w:val="Compact"/>
        <w:numPr>
          <w:ilvl w:val="0"/>
          <w:numId w:val="1012"/>
        </w:numPr>
      </w:pPr>
      <w:r>
        <w:t xml:space="preserve">Annex posterior al tancament, no part del cos principal.</w:t>
      </w:r>
    </w:p>
    <w:p>
      <w:pPr>
        <w:pStyle w:val="Compact"/>
        <w:numPr>
          <w:ilvl w:val="0"/>
          <w:numId w:val="1012"/>
        </w:numPr>
      </w:pPr>
      <w:r>
        <w:t xml:space="preserve">Només mostrar si el tribunal ho demana o si hi ha temps explícit després de la classe.</w:t>
      </w:r>
    </w:p>
    <w:p>
      <w:pPr>
        <w:pStyle w:val="Compact"/>
        <w:numPr>
          <w:ilvl w:val="0"/>
          <w:numId w:val="1012"/>
        </w:numPr>
      </w:pPr>
      <w:r>
        <w:t xml:space="preserve">Mateix cas d’ús, servei i domini.</w:t>
      </w:r>
    </w:p>
    <w:p>
      <w:pPr>
        <w:pStyle w:val="Compact"/>
        <w:numPr>
          <w:ilvl w:val="0"/>
          <w:numId w:val="1012"/>
        </w:numPr>
      </w:pPr>
      <w:r>
        <w:t xml:space="preserve">Canvia l’adaptador.</w:t>
      </w:r>
    </w:p>
    <w:p>
      <w:pPr>
        <w:pStyle w:val="Compact"/>
        <w:numPr>
          <w:ilvl w:val="0"/>
          <w:numId w:val="1012"/>
        </w:numPr>
      </w:pPr>
      <w:r>
        <w:t xml:space="preserve">Perfils: Finnhub, Alpha Vantage, mock.</w:t>
      </w:r>
    </w:p>
    <w:p>
      <w:pPr>
        <w:pStyle w:val="Compact"/>
        <w:numPr>
          <w:ilvl w:val="0"/>
          <w:numId w:val="1012"/>
        </w:numPr>
      </w:pPr>
      <w:r>
        <w:t xml:space="preserve">Finnhub i Alpha Vantage són implementacions concretes; el contracte no canvia.</w:t>
      </w:r>
    </w:p>
    <w:p>
      <w:pPr>
        <w:pStyle w:val="Compact"/>
        <w:numPr>
          <w:ilvl w:val="0"/>
          <w:numId w:val="1012"/>
        </w:numPr>
      </w:pPr>
      <w:r>
        <w:t xml:space="preserve">Utilitat docent: proves amb adaptador mock i sense claus reals.</w:t>
      </w:r>
    </w:p>
    <w:p>
      <w:pPr>
        <w:pStyle w:val="Compact"/>
        <w:numPr>
          <w:ilvl w:val="0"/>
          <w:numId w:val="1012"/>
        </w:numPr>
      </w:pPr>
      <w:r>
        <w:t xml:space="preserve">Missatge: canvia la infraestructura; el cas d’ús i el domini romanen estables.</w:t>
      </w:r>
    </w:p>
    <w:p>
      <w:pPr>
        <w:pStyle w:val="Compact"/>
        <w:numPr>
          <w:ilvl w:val="0"/>
          <w:numId w:val="1012"/>
        </w:numPr>
      </w:pPr>
      <w:r>
        <w:t xml:space="preserve">No convertir l’annex en una segona explicació llarga.</w:t>
      </w:r>
    </w:p>
    <w:p>
      <w:r>
        <w:pict>
          <ns1:rect style="width:0;height:1.5pt" ns2:hralign="center" ns2:hrstd="t" ns2:hr="t"/>
        </w:pict>
      </w:r>
    </w:p>
    <w:bookmarkEnd w:id="32"/>
    <w:bookmarkEnd w:id="33"/>
    <w:bookmarkStart w:id="34"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Tancament</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BodyText"/>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w:t>
      </w:r>
      <w:r>
        <w:t xml:space="preserve">.</w:t>
      </w:r>
    </w:p>
    <w:p>
      <w:pPr>
        <w:pStyle w:val="BodyText"/>
      </w:pPr>
      <w:r>
        <w:t xml:space="preserve">Mantra de l’annex opcional:</w:t>
      </w:r>
      <w:r>
        <w:t xml:space="preserve"> </w:t>
      </w:r>
      <w:r>
        <w:rPr>
          <w:rStyle w:val="VerbatimChar"/>
        </w:rPr>
        <w:t xml:space="preserve">mateix cas d'ús -&gt; mateix servei -&gt; mateix domini -&gt; canvia l'adaptador</w:t>
      </w:r>
      <w:r>
        <w:t xml:space="preserve">.</w:t>
      </w:r>
    </w:p>
    <w:p>
      <w:r>
        <w:pict>
          <ns1:rect style="width:0;height:1.5pt" ns2:hralign="center" ns2:hrstd="t" ns2:hr="t"/>
        </w:pict>
      </w:r>
    </w:p>
    <w:bookmarkEnd w:id="34"/>
    <w:bookmarkStart w:id="35" w:name="taula-temporal-actualitzada"/>
    <w:p>
      <w:pPr>
        <w:pStyle w:val="Heading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204</w:t>
            </w:r>
          </w:p>
        </w:tc>
        <w:tc>
          <w:tcPr/>
          <w:p>
            <w:pPr>
              <w:pStyle w:val="Compact"/>
            </w:pPr>
            <w:r>
              <w:t xml:space="preserve">1:38</w:t>
            </w:r>
          </w:p>
        </w:tc>
        <w:tc>
          <w:tcPr/>
          <w:p>
            <w:pPr>
              <w:pStyle w:val="Compact"/>
            </w:pPr>
            <w:r>
              <w:t xml:space="preserve">1:34</w:t>
            </w:r>
          </w:p>
        </w:tc>
        <w:tc>
          <w:tcPr/>
          <w:p>
            <w:pPr>
              <w:pStyle w:val="Compact"/>
            </w:pPr>
            <w:r>
              <w:t xml:space="preserve">1:31</w:t>
            </w:r>
          </w:p>
        </w:tc>
        <w:tc>
          <w:tcPr/>
          <w:p>
            <w:pPr>
              <w:pStyle w:val="Compact"/>
            </w:pPr>
            <w:r>
              <w:t xml:space="preserve">6:49</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8:50</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10:20</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11:33</w:t>
            </w:r>
          </w:p>
        </w:tc>
      </w:tr>
      <w:tr>
        <w:tc>
          <w:tcPr/>
          <w:p>
            <w:pPr>
              <w:pStyle w:val="Compact"/>
            </w:pPr>
            <w:r>
              <w:t xml:space="preserve">10</w:t>
            </w:r>
          </w:p>
        </w:tc>
        <w:tc>
          <w:tcPr/>
          <w:p>
            <w:pPr>
              <w:pStyle w:val="Compact"/>
            </w:pPr>
            <w:r>
              <w:t xml:space="preserve">Idea clau i tancament</w:t>
            </w:r>
          </w:p>
        </w:tc>
        <w:tc>
          <w:tcPr/>
          <w:p>
            <w:pPr>
              <w:pStyle w:val="Compact"/>
            </w:pPr>
            <w:r>
              <w:t xml:space="preserve">104</w:t>
            </w:r>
          </w:p>
        </w:tc>
        <w:tc>
          <w:tcPr/>
          <w:p>
            <w:pPr>
              <w:pStyle w:val="Compact"/>
            </w:pPr>
            <w:r>
              <w:t xml:space="preserve">0:50</w:t>
            </w:r>
          </w:p>
        </w:tc>
        <w:tc>
          <w:tcPr/>
          <w:p>
            <w:pPr>
              <w:pStyle w:val="Compact"/>
            </w:pPr>
            <w:r>
              <w:t xml:space="preserve">0:48</w:t>
            </w:r>
          </w:p>
        </w:tc>
        <w:tc>
          <w:tcPr/>
          <w:p>
            <w:pPr>
              <w:pStyle w:val="Compact"/>
            </w:pPr>
            <w:r>
              <w:t xml:space="preserve">0:46</w:t>
            </w:r>
          </w:p>
        </w:tc>
        <w:tc>
          <w:tcPr/>
          <w:p>
            <w:pPr>
              <w:pStyle w:val="Compact"/>
            </w:pPr>
            <w:r>
              <w:t xml:space="preserve">12:21</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1.606</w:t>
            </w:r>
          </w:p>
        </w:tc>
        <w:tc>
          <w:tcPr/>
          <w:p>
            <w:pPr>
              <w:pStyle w:val="Compact"/>
            </w:pPr>
            <w:r>
              <w:rPr>
                <w:b/>
                <w:bCs/>
              </w:rPr>
              <w:t xml:space="preserve">12:51</w:t>
            </w:r>
          </w:p>
        </w:tc>
        <w:tc>
          <w:tcPr/>
          <w:p>
            <w:pPr>
              <w:pStyle w:val="Compact"/>
            </w:pPr>
            <w:r>
              <w:rPr>
                <w:b/>
                <w:bCs/>
              </w:rPr>
              <w:t xml:space="preserve">12:21</w:t>
            </w:r>
          </w:p>
        </w:tc>
        <w:tc>
          <w:tcPr/>
          <w:p>
            <w:pPr>
              <w:pStyle w:val="Compact"/>
            </w:pPr>
            <w:r>
              <w:rPr>
                <w:b/>
                <w:bCs/>
              </w:rPr>
              <w:t xml:space="preserve">11:54</w:t>
            </w:r>
          </w:p>
        </w:tc>
        <w:tc>
          <w:tcPr/>
          <w:p>
            <w:pPr>
              <w:pStyle w:val="Compact"/>
            </w:pPr>
            <w:r>
              <w:rPr>
                <w:b/>
                <w:bCs/>
              </w:rPr>
              <w:t xml:space="preserve">12:21</w:t>
            </w:r>
          </w:p>
        </w:tc>
      </w:tr>
    </w:tbl>
    <w:p>
      <w:pPr>
        <w:pStyle w:val="BodyText"/>
      </w:pPr>
      <w:r>
        <w:t xml:space="preserve">Estimació anterior de treball: 18:15-19:00. Temps eliminat del cos principal: una diapositiva prevista d’1:25. Nova estimació prudent amb pauses reals: 16:00-17:15. Marge respecte dels 20 minuts: aproximadament 2:45-4:00, pendent de validació amb assaig oral real.</w:t>
      </w:r>
    </w:p>
    <w:p>
      <w:r>
        <w:pict>
          <ns1:rect style="width:0;height:1.5pt" ns2:hralign="center" ns2:hrstd="t" ns2:hr="t"/>
        </w:pict>
      </w:r>
    </w:p>
    <w:bookmarkEnd w:id="35"/>
    <w:bookmarkStart w:id="40" w:name="pla-dentrenament-comunicatiu"/>
    <w:p>
      <w:pPr>
        <w:pStyle w:val="Heading2"/>
      </w:pPr>
      <w:r>
        <w:t xml:space="preserve">5. Pla d’entrenament comunicatiu</w:t>
      </w:r>
    </w:p>
    <w:bookmarkStart w:id="36" w:name="entrenament-inicial"/>
    <w:p>
      <w:pPr>
        <w:pStyle w:val="Heading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BodyText"/>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BodyText"/>
      </w:pPr>
      <w:r>
        <w:t xml:space="preserve">La demo opcional s’ha d’assajar per separat. No s’ha d’incloure en el cronòmetre principal.</w:t>
      </w:r>
    </w:p>
    <w:bookmarkEnd w:id="36"/>
    <w:bookmarkStart w:id="37" w:name="entrenament-intermedi"/>
    <w:p>
      <w:pPr>
        <w:pStyle w:val="Heading3"/>
      </w:pPr>
      <w:r>
        <w:t xml:space="preserve">Entrenament intermedi</w:t>
      </w:r>
    </w:p>
    <w:p>
      <w:pPr>
        <w:pStyle w:val="FirstParagraph"/>
      </w:pPr>
      <w:r>
        <w:t xml:space="preserve">Practica per blocs, no tota la presentació sempre sencera:</w:t>
      </w:r>
    </w:p>
    <w:p>
      <w:pPr>
        <w:pStyle w:val="Compact"/>
        <w:numPr>
          <w:ilvl w:val="0"/>
          <w:numId w:val="1013"/>
        </w:numPr>
      </w:pPr>
      <w:r>
        <w:t xml:space="preserve">Bloc 1: diapositives 1-3, context, assignatura i objectiu breu.</w:t>
      </w:r>
    </w:p>
    <w:p>
      <w:pPr>
        <w:pStyle w:val="Compact"/>
        <w:numPr>
          <w:ilvl w:val="0"/>
          <w:numId w:val="1013"/>
        </w:numPr>
      </w:pPr>
      <w:r>
        <w:t xml:space="preserve">Bloc 2: diapositives 4-8, cas AGAUR, problema i port de sortida.</w:t>
      </w:r>
    </w:p>
    <w:p>
      <w:pPr>
        <w:pStyle w:val="Compact"/>
        <w:numPr>
          <w:ilvl w:val="0"/>
          <w:numId w:val="1013"/>
        </w:numPr>
      </w:pPr>
      <w:r>
        <w:t xml:space="preserve">Bloc 3: diapositives 9-10, domini financer, conclusió i agraïment.</w:t>
      </w:r>
    </w:p>
    <w:p>
      <w:pPr>
        <w:pStyle w:val="Compact"/>
        <w:numPr>
          <w:ilvl w:val="0"/>
          <w:numId w:val="1013"/>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7"/>
    <w:bookmarkStart w:id="38" w:name="assaig-final"/>
    <w:p>
      <w:pPr>
        <w:pStyle w:val="Heading3"/>
      </w:pPr>
      <w:r>
        <w:t xml:space="preserve">Assaig final</w:t>
      </w:r>
    </w:p>
    <w:p>
      <w:pPr>
        <w:pStyle w:val="FirstParagraph"/>
      </w:pPr>
      <w:r>
        <w:t xml:space="preserve">Fes com a mínim tres passades completes del cos principal:</w:t>
      </w:r>
    </w:p>
    <w:p>
      <w:pPr>
        <w:pStyle w:val="Compact"/>
        <w:numPr>
          <w:ilvl w:val="0"/>
          <w:numId w:val="1014"/>
        </w:numPr>
      </w:pPr>
      <w:r>
        <w:t xml:space="preserve">Primera passada: amb guió complet a la mà.</w:t>
      </w:r>
    </w:p>
    <w:p>
      <w:pPr>
        <w:pStyle w:val="Compact"/>
        <w:numPr>
          <w:ilvl w:val="0"/>
          <w:numId w:val="1014"/>
        </w:numPr>
      </w:pPr>
      <w:r>
        <w:t xml:space="preserve">Segona passada: només amb notes del presentador.</w:t>
      </w:r>
    </w:p>
    <w:p>
      <w:pPr>
        <w:pStyle w:val="Compact"/>
        <w:numPr>
          <w:ilvl w:val="0"/>
          <w:numId w:val="1014"/>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t xml:space="preserve">Després grava una passada independent de l’annex opcional. La demo ha de poder explicar-se sense reobrir tota la classe. Ha de sonar com una verificació pràctica del que ja s’ha explicat, no com una secció nova.</w:t>
      </w:r>
    </w:p>
    <w:bookmarkEnd w:id="38"/>
    <w:bookmarkStart w:id="39" w:name="ritme-veu-i-cos"/>
    <w:p>
      <w:pPr>
        <w:pStyle w:val="Heading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ns1:rect style="width:0;height:1.5pt" ns2:hralign="center" ns2:hrstd="t" ns2:hr="t"/>
        </w:pict>
      </w:r>
    </w:p>
    <w:bookmarkEnd w:id="39"/>
    <w:bookmarkEnd w:id="40"/>
    <w:bookmarkStart w:id="41" w:name="advertiments-finals"/>
    <w:p>
      <w:pPr>
        <w:pStyle w:val="Heading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BodyText"/>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1"/>
    <w:bookmarkEnd w:id="42"/>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2026-07-12T19:46:01Z</dcterms:created>
  <dcterms:modified xsi:type="dcterms:W3CDTF">2026-07-12T19:46:01Z</dcterms:modified>
</cp:coreProperties>
</file>

<file path=docProps/custom.xml><?xml version="1.0" encoding="utf-8"?>
<Properties xmlns="http://schemas.openxmlformats.org/officeDocument/2006/custom-properties" xmlns:vt="http://schemas.openxmlformats.org/officeDocument/2006/docPropsVTypes"/>
</file>