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79cee1dd7752e91aad864bc270c2d5ac95f00d7"/>
    <w:p>
      <w:pPr>
        <w:pStyle w:val="Ttulo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Textoindependiente"/>
      </w:pPr>
      <w:r>
        <w:t xml:space="preserve">Nota de versió: la demo queda fora del cos principal de la classe. El tancament conceptual és la diapositiva</w:t>
      </w:r>
      <w:r>
        <w:t xml:space="preserve"> </w:t>
      </w:r>
      <w:r>
        <w:rPr>
          <w:rStyle w:val="VerbatimChar"/>
        </w:rPr>
        <w:t xml:space="preserve">Idea clau i tancament</w:t>
      </w:r>
      <w:r>
        <w:t xml:space="preserve"> </w:t>
      </w:r>
      <w:r>
        <w:t xml:space="preserve">i el tancament protocol·lari és la diapositiva</w:t>
      </w:r>
      <w:r>
        <w:t xml:space="preserve"> </w:t>
      </w:r>
      <w:r>
        <w:rPr>
          <w:rStyle w:val="VerbatimChar"/>
        </w:rPr>
        <w:t xml:space="preserve">Agraïment</w:t>
      </w:r>
      <w:r>
        <w:t xml:space="preserve">. La demo es conserva com a annex opcional, només per activar-la si el tribunal la demana o si hi ha temps explícitament disponible després del tancament.</w:t>
      </w:r>
    </w:p>
    <w:p>
      <w:r>
        <w:pict>
          <v:rect style="width:0;height:1.5pt" o:hralign="center" o:hrstd="t" o:hr="t"/>
        </w:pict>
      </w:r>
    </w:p>
    <w:bookmarkStart w:id="20" w:name="guió-oral-complet-imprimible"/>
    <w:p>
      <w:pPr>
        <w:pStyle w:val="Ttulo2"/>
      </w:pPr>
      <w:r>
        <w:t xml:space="preserve">1. Guió oral complet imprimible</w:t>
      </w:r>
    </w:p>
    <w:p>
      <w:pPr>
        <w:pStyle w:val="FirstParagraph"/>
      </w:pPr>
      <w:r>
        <w:t xml:space="preserve">Temps total previst d’assaig del cos principal: aproximadament 17:05-18:30, sense demo en viu. La lectura neta del text queda al voltant de 12:45-13:45 segons el ritme; la validació definitiva s’ha de fer amb assaig oral real.</w:t>
      </w:r>
    </w:p>
    <w:p>
      <w:pPr>
        <w:pStyle w:val="Textoindependiente"/>
      </w:pPr>
      <w:r>
        <w:t xml:space="preserve">La demo no forma part del temps canònic de la classe. S’ha de considerar un annex opcional posterior al tancament.</w:t>
      </w:r>
    </w:p>
    <w:bookmarkStart w:id="9" w:name="diapositiva-1.-portada---135"/>
    <w:p>
      <w:pPr>
        <w:pStyle w:val="Ttulo3"/>
      </w:pPr>
      <w:r>
        <w:t xml:space="preserve">Diapositiva 1. Portada - 1:35</w:t>
      </w:r>
    </w:p>
    <w:p>
      <w:pPr>
        <w:pStyle w:val="FirstParagraph"/>
      </w:pPr>
      <w:r>
        <w:t xml:space="preserve">Bon dia, membres del tribunal. [pausa breu, mirada al tribunal]</w:t>
      </w:r>
    </w:p>
    <w:p>
      <w:pPr>
        <w:pStyle w:val="Textoindependiente"/>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Textoindependiente"/>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Textoindependiente"/>
      </w:pPr>
      <w:r>
        <w:t xml:space="preserve">Ho explico perquè em sembla molt enriquidor plantejar aquesta sessió com una trobada entre dos mons.</w:t>
      </w:r>
    </w:p>
    <w:p>
      <w:pPr>
        <w:pStyle w:val="Textoindependiente"/>
      </w:pPr>
      <w:r>
        <w:t xml:space="preserve">D’una banda, l’acadèmic: l’assignatura de Disseny de Sistemes d’Informació, on treballem conceptes com arquitectura hexagonal, ports, adaptadors i inversió de dependències.</w:t>
      </w:r>
    </w:p>
    <w:p>
      <w:pPr>
        <w:pStyle w:val="Textoindependiente"/>
      </w:pPr>
      <w:r>
        <w:t xml:space="preserve">I de l’altra, el professional: un cas real que ens permet veure com aquests conceptes s’aterren en reptes concrets d’arquitectura de software. [mirada al tribunal]</w:t>
      </w:r>
    </w:p>
    <w:p>
      <w:pPr>
        <w:pStyle w:val="Textoindependiente"/>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Ttulo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Textoindependiente"/>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Ttulo3"/>
      </w:pPr>
      <w:r>
        <w:t xml:space="preserve">Diapositiva 3. Objectiu de la sessió - 0:55</w:t>
      </w:r>
    </w:p>
    <w:p>
      <w:pPr>
        <w:pStyle w:val="FirstParagraph"/>
      </w:pPr>
      <w:r>
        <w:t xml:space="preserve">Abans d’entrar en el cas, deixo formulat l’objectiu de la sessió. [pausa breu]</w:t>
      </w:r>
    </w:p>
    <w:p>
      <w:pPr>
        <w:pStyle w:val="Textoindependiente"/>
      </w:pPr>
      <w:r>
        <w:t xml:space="preserve">El principi de treball és aquest: el cas d’ús necessita una capacitat, no una tecnologia específica. [mirar el tribunal]</w:t>
      </w:r>
    </w:p>
    <w:p>
      <w:pPr>
        <w:pStyle w:val="Textoindependiente"/>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Textoindependiente"/>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Ttulo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Textoindependiente"/>
      </w:pPr>
      <w:r>
        <w:t xml:space="preserve">En un procediment de beca, una sol·licitud dona lloc a un expedient. Aquest expedient passa per diferents fases: requisits generals, requisits econòmics, revisió acadèmica i resolució. [assenyalar la seqüència de la dreta]</w:t>
      </w:r>
    </w:p>
    <w:p>
      <w:pPr>
        <w:pStyle w:val="Textoindependiente"/>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Textoindependiente"/>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Textoindependiente"/>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Ttulo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Textoindependiente"/>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Textoindependiente"/>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Textoindependiente"/>
      </w:pPr>
      <w:r>
        <w:t xml:space="preserve">La distinció clau és aquesta: el procediment necessita informació administrativa; no necessita, en el seu llenguatge propi, una API concreta, un protocol de comunicació o un format de dades específic. [pausa llarga; mirar el tribunal]</w:t>
      </w:r>
    </w:p>
    <w:p>
      <w:pPr>
        <w:pStyle w:val="Textoindependiente"/>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Textoindependiente"/>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Textoindependiente"/>
      </w:pPr>
      <w:r>
        <w:t xml:space="preserve">Quan aquesta separació no es respecta, apareix el problema arquitectònic que veurem ara.</w:t>
      </w:r>
    </w:p>
    <w:bookmarkEnd w:id="13"/>
    <w:bookmarkStart w:id="14" w:name="X316054ed1b0af9ffc7ab9c0467862954676b646"/>
    <w:p>
      <w:pPr>
        <w:pStyle w:val="Ttulo3"/>
      </w:pPr>
      <w:r>
        <w:t xml:space="preserve">Diapositiva 6. Dependència directa entre procediment i integració - 2:20</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Textoindependiente"/>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Textoindependiente"/>
      </w:pPr>
      <w:r>
        <w:t xml:space="preserve">Quan això passa, l’evolució tecnològica travessa la frontera del cas d’ús. Si un servei evoluciona, si canvia el contracte tècnic o si el mecanisme d’integració es transforma, el canvi impactarà codi que hauria d’estar expressant exclusivament criteris administratius del procediment.</w:t>
      </w:r>
    </w:p>
    <w:p>
      <w:pPr>
        <w:pStyle w:val="Textoindependiente"/>
      </w:pPr>
      <w:r>
        <w:t xml:space="preserve">Les tres caixes no representen tres riscos independents. Són tres moments correlacionats d’una mateixa cadena causal. [assenyalar d’esquerra a dreta]</w:t>
      </w:r>
    </w:p>
    <w:p>
      <w:pPr>
        <w:pStyle w:val="Textoindependiente"/>
      </w:pPr>
      <w:r>
        <w:t xml:space="preserve">A l’esquerra hi ha la causa: l’acoblament tecnològic. El cas d’ús incorpora detalls que no pertanyen al llenguatge del procediment, com SOAP/XML, DTOs, clients o codis d’error de PICA.</w:t>
      </w:r>
    </w:p>
    <w:p>
      <w:pPr>
        <w:pStyle w:val="Textoindependiente"/>
      </w:pPr>
      <w:r>
        <w:t xml:space="preserve">Al centre hi ha la propagació: com que aquests detalls han entrat dins la frontera del cas d’ús, una evolució de la integració travessa aquesta frontera i obliga a revisar lògica d’aplicació.</w:t>
      </w:r>
    </w:p>
    <w:p>
      <w:pPr>
        <w:pStyle w:val="Textoindependiente"/>
      </w:pPr>
      <w:r>
        <w:t xml:space="preserve">A la dreta hi ha la conseqüència: augmenta la superfície de codi afectada. Cal modificar i revalidar més comportament i, per això, el manteniment esdevé més fràgil.</w:t>
      </w:r>
    </w:p>
    <w:p>
      <w:pPr>
        <w:pStyle w:val="Textoindependiente"/>
      </w:pPr>
      <w:r>
        <w:t xml:space="preserve">Estem mostrant com un únic acoblament fa que un canvi d’infraestructura es propagui fins al procediment administratiu.</w:t>
      </w:r>
    </w:p>
    <w:p>
      <w:pPr>
        <w:pStyle w:val="Textoindependiente"/>
      </w:pPr>
      <w:r>
        <w:t xml:space="preserve">La pregunta docent, per tant, és: com podem permetre que el cas d’ús necessiti dades externes, però sense dependre directament de la tecnologia que les proporciona?</w:t>
      </w:r>
    </w:p>
    <w:p>
      <w:pPr>
        <w:pStyle w:val="Textoindependiente"/>
      </w:pPr>
      <w:r>
        <w:t xml:space="preserve">La resposta és introduir un port de sortida.</w:t>
      </w:r>
    </w:p>
    <w:bookmarkEnd w:id="14"/>
    <w:bookmarkStart w:id="15" w:name="Xa64d3085c9800517858e9bbb9c52cb4bb4814e5"/>
    <w:p>
      <w:pPr>
        <w:pStyle w:val="Ttulo3"/>
      </w:pPr>
      <w:r>
        <w:t xml:space="preserve">Diapositiva 7. Port de sortida i adaptador - 2:20</w:t>
      </w:r>
    </w:p>
    <w:p>
      <w:pPr>
        <w:pStyle w:val="FirstParagraph"/>
      </w:pPr>
      <w:r>
        <w:t xml:space="preserve">Abans d’aplicar-ho al cas patrimonial, fixem una distinció important.</w:t>
      </w:r>
    </w:p>
    <w:p>
      <w:pPr>
        <w:pStyle w:val="Textoindependiente"/>
      </w:pPr>
      <w:r>
        <w:t xml:space="preserve">Una cosa és el flux d’execució: el cas d’ús demana una informació i aquesta informació pot acabar venint d’un sistema extern.</w:t>
      </w:r>
      <w:r>
        <w:t xml:space="preserve"> </w:t>
      </w:r>
      <w:r>
        <w:t xml:space="preserve">[assenyalar la primera línia]</w:t>
      </w:r>
    </w:p>
    <w:p>
      <w:pPr>
        <w:pStyle w:val="Textoindependiente"/>
      </w:pPr>
      <w:r>
        <w:t xml:space="preserve">Una altra cosa és la dependència de codi: el cas d’ús depèn del port, i l’adaptador implementa aquest port.</w:t>
      </w:r>
      <w:r>
        <w:t xml:space="preserve"> </w:t>
      </w:r>
      <w:r>
        <w:t xml:space="preserve">[assenyalar la segona línia]</w:t>
      </w:r>
    </w:p>
    <w:p>
      <w:pPr>
        <w:pStyle w:val="Textoindependiente"/>
      </w:pPr>
      <w:r>
        <w:t xml:space="preserve">Per situar bé el concepte, quan aquí parlem d’un port no estem parlant d’un element físic ni d’un detall d’infraestructura. Conceptualment, el port és un contracte; en aquesta implementació Java, el representem amb una interfície.</w:t>
      </w:r>
      <w:r>
        <w:t xml:space="preserve"> </w:t>
      </w:r>
      <w:r>
        <w:t xml:space="preserve">[assenyalar el requadre «Concreció en Java»: la targeta superior és la interfície, el contracte]</w:t>
      </w:r>
    </w:p>
    <w:p>
      <w:pPr>
        <w:pStyle w:val="Textoindependiente"/>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Textoindependiente"/>
      </w:pPr>
      <w:r>
        <w:t xml:space="preserve">Després, l’adaptador és la peça que implementa aquesta interfície i sap com anar realment a buscar aquella informació al sistema extern corresponent.</w:t>
      </w:r>
      <w:r>
        <w:t xml:space="preserve"> </w:t>
      </w:r>
      <w:r>
        <w:t xml:space="preserve">[assenyalar la fletxa discontínua «implements», de l’adaptador cap a la interfície]</w:t>
      </w:r>
    </w:p>
    <w:p>
      <w:pPr>
        <w:pStyle w:val="Textoindependiente"/>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Textoindependiente"/>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Textoindependiente"/>
      </w:pPr>
      <w:r>
        <w:t xml:space="preserve">Aquesta és la inversió de dependències: la infraestructura depèn del port definit per l’aplicació, no a l’inrevés.</w:t>
      </w:r>
      <w:r>
        <w:t xml:space="preserve"> </w:t>
      </w:r>
      <w:r>
        <w:t xml:space="preserve">[mirada al tribunal]</w:t>
      </w:r>
    </w:p>
    <w:p>
      <w:pPr>
        <w:pStyle w:val="Textoindependiente"/>
      </w:pPr>
      <w:r>
        <w:t xml:space="preserve">Amb aquesta idea clara, ara podem portar el patró al cas administratiu.</w:t>
      </w:r>
    </w:p>
    <w:bookmarkEnd w:id="15"/>
    <w:bookmarkStart w:id="16" w:name="X03bf5d2bd196b04e61c9020dfe27fee6ad69815"/>
    <w:p>
      <w:pPr>
        <w:pStyle w:val="Ttulo3"/>
      </w:pPr>
      <w:r>
        <w:t xml:space="preserve">Diapositiva 8. Port de sortida per a informació patrimonial - 1:45</w:t>
      </w:r>
    </w:p>
    <w:p>
      <w:pPr>
        <w:pStyle w:val="FirstParagraph"/>
      </w:pPr>
      <w:r>
        <w:t xml:space="preserve">Portem aquesta idea al cas administratiu. [assenyalar el diagrama]</w:t>
      </w:r>
    </w:p>
    <w:p>
      <w:pPr>
        <w:pStyle w:val="Textoindependiente"/>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Textoindependiente"/>
      </w:pPr>
      <w:r>
        <w:t xml:space="preserve">En el diagrama, el nucli de l’aplicació conté el servei d’aplicació i el model de domini. A la dreta hi ha ports de sortida que representen necessitats de l’aplicació. Fora del nucli hi ha adaptadors que resolen persistència, interoperabilitat amb PICA o altres mecanismes concrets.</w:t>
      </w:r>
    </w:p>
    <w:p>
      <w:pPr>
        <w:pStyle w:val="Textoindependiente"/>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Textoindependiente"/>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Textoindependiente"/>
      </w:pPr>
      <w:r>
        <w:t xml:space="preserve">Aquesta mateixa estructura la podem transferir ara al domini financer: una aplicació de gestió d’una cartera d’inversió personal.</w:t>
      </w:r>
    </w:p>
    <w:bookmarkEnd w:id="16"/>
    <w:bookmarkStart w:id="17" w:name="X622b1aabebf27347556ce6d9dffa831cb77da68"/>
    <w:p>
      <w:pPr>
        <w:pStyle w:val="Ttulo3"/>
      </w:pPr>
      <w:r>
        <w:t xml:space="preserve">Diapositiva 9. Transferència al domini financer - 1:25</w:t>
      </w:r>
    </w:p>
    <w:p>
      <w:pPr>
        <w:pStyle w:val="FirstParagraph"/>
      </w:pPr>
      <w:r>
        <w:t xml:space="preserve">Ara transferim la mateixa decisió arquitectònica a un domini diferent: una aplicació de gestió d’una cartera d’inversió.</w:t>
      </w:r>
    </w:p>
    <w:p>
      <w:pPr>
        <w:pStyle w:val="Textoindependiente"/>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Textoindependiente"/>
      </w:pPr>
      <w:r>
        <w:t xml:space="preserve">Els adaptadors de Finnhub, Alpha Vantage o un adaptador mock implementen aquest mateix contracte i encapsulen els detalls de cada integració.</w:t>
      </w:r>
    </w:p>
    <w:p>
      <w:pPr>
        <w:pStyle w:val="Textoindependiente"/>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Textoindependiente"/>
      </w:pPr>
      <w:r>
        <w:t xml:space="preserve">Canvia el domini, però es manté la decisió arquitectònica: primer identifiquem la necessitat funcional, després definim el port i finalment resolem la integració. [pausa breu]</w:t>
      </w:r>
    </w:p>
    <w:p>
      <w:pPr>
        <w:pStyle w:val="Textoindependiente"/>
      </w:pPr>
      <w:r>
        <w:t xml:space="preserve">La substitució és viable mentre es mantinguin el contracte funcional i la semàntica que necessita l’aplicació.</w:t>
      </w:r>
    </w:p>
    <w:p>
      <w:pPr>
        <w:pStyle w:val="Textoindependiente"/>
      </w:pPr>
      <w:r>
        <w:t xml:space="preserve">Amb això podem tancar la classe recuperant les tres decisions essencials.</w:t>
      </w:r>
    </w:p>
    <w:bookmarkEnd w:id="17"/>
    <w:bookmarkStart w:id="18" w:name="X8617ba821f47f0e5854955ab559cd49c5832102"/>
    <w:p>
      <w:pPr>
        <w:pStyle w:val="Ttulo3"/>
      </w:pPr>
      <w:r>
        <w:t xml:space="preserve">Diapositiva 10. Idea clau i tancament - 0:45</w:t>
      </w:r>
    </w:p>
    <w:p>
      <w:pPr>
        <w:pStyle w:val="FirstParagraph"/>
      </w:pPr>
      <w:r>
        <w:t xml:space="preserve">Per tancar el contingut tècnic, voldria recuperar les tres decisions que hem treballat.</w:t>
      </w:r>
    </w:p>
    <w:p>
      <w:pPr>
        <w:pStyle w:val="Textoindependiente"/>
      </w:pPr>
      <w:r>
        <w:t xml:space="preserve">Primer, el cas d’ús expressa una necessitat funcional, no una tecnologia concreta. Segon, el port defineix el contracte que necessita l’aplicació. I tercer, l’adaptador encapsula la integració amb el sistema extern.</w:t>
      </w:r>
    </w:p>
    <w:p>
      <w:pPr>
        <w:pStyle w:val="Textoindependiente"/>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Textoindependiente"/>
      </w:pPr>
      <w:r>
        <w:t xml:space="preserve">Dit de manera sintètica: l’arquitectura no elimina el canvi; el localitza.</w:t>
      </w:r>
    </w:p>
    <w:bookmarkEnd w:id="18"/>
    <w:bookmarkStart w:id="19" w:name="diapositiva-11.-agraïment---025"/>
    <w:p>
      <w:pPr>
        <w:pStyle w:val="Ttulo3"/>
      </w:pPr>
      <w:r>
        <w:t xml:space="preserve">Diapositiva 11. Agraïment - 0:25</w:t>
      </w:r>
    </w:p>
    <w:p>
      <w:pPr>
        <w:pStyle w:val="FirstParagraph"/>
      </w:pPr>
      <w:r>
        <w:t xml:space="preserve">Vull expressar el meu agraïment al TecnoCampus per un entorn que m’encoratja a créixer, al costat d’un equip del qual aprenc i amb qui comparteixo coneixement, responsabilitat i compromís amb la formació universitària.</w:t>
      </w:r>
    </w:p>
    <w:p>
      <w:pPr>
        <w:pStyle w:val="Textoindependiente"/>
      </w:pPr>
      <w:r>
        <w:t xml:space="preserve">[pausa natural]</w:t>
      </w:r>
    </w:p>
    <w:p>
      <w:pPr>
        <w:pStyle w:val="Textoindependiente"/>
      </w:pPr>
      <w:r>
        <w:t xml:space="preserve">Moltes gràcies.</w:t>
      </w:r>
    </w:p>
    <w:p>
      <w:r>
        <w:pict>
          <v:rect style="width:0;height:1.5pt" o:hralign="center" o:hrstd="t" o:hr="t"/>
        </w:pict>
      </w:r>
    </w:p>
    <w:bookmarkEnd w:id="19"/>
    <w:bookmarkEnd w:id="20"/>
    <w:bookmarkStart w:id="22" w:name="annex-a.-demo-opcional"/>
    <w:p>
      <w:pPr>
        <w:pStyle w:val="Ttulo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Ttulo3"/>
      </w:pPr>
      <w:r>
        <w:t xml:space="preserve">Annex A. Demo opcional - 1:30 a 2:30</w:t>
      </w:r>
    </w:p>
    <w:p>
      <w:pPr>
        <w:pStyle w:val="FirstParagraph"/>
      </w:pPr>
      <w:r>
        <w:t xml:space="preserve">Si es vol veure la translació pràctica d’aquesta idea, tinc preparada una demo molt breu amb HexaStock.</w:t>
      </w:r>
    </w:p>
    <w:p>
      <w:pPr>
        <w:pStyle w:val="Textoindependiente"/>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Textoindependiente"/>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Textoindependiente"/>
      </w:pPr>
      <w:r>
        <w:t xml:space="preserve">Aquests noms són implementacions concretes. El que vull que observeu és que el contracte que veu el cas d’ús no canvia.</w:t>
      </w:r>
    </w:p>
    <w:p>
      <w:pPr>
        <w:pStyle w:val="Textoindependiente"/>
      </w:pPr>
      <w:r>
        <w:t xml:space="preserve">Aquest punt és especialment rellevant en docència. Permet fer proves amb un adaptador mock, sense claus reals, sense disponibilitat d’un proveïdor extern i sense contaminar el domini amb detalls tècnics. [mirada al tribunal]</w:t>
      </w:r>
    </w:p>
    <w:p>
      <w:pPr>
        <w:pStyle w:val="Textoindependiente"/>
      </w:pPr>
      <w:r>
        <w:t xml:space="preserve">El missatge de la demo és el mateix que hem treballat des del principi: canvia la infraestructura; el cas d’ús i el domini romanen estables.</w:t>
      </w:r>
    </w:p>
    <w:p>
      <w:pPr>
        <w:pStyle w:val="Textoindependiente"/>
      </w:pPr>
      <w:r>
        <w:t xml:space="preserve">Això no vol dir que l’arquitectura elimini el canvi. El canvi continua existint. El que fa una bona arquitectura és localitzar-lo.</w:t>
      </w:r>
    </w:p>
    <w:p>
      <w:r>
        <w:pict>
          <v:rect style="width:0;height:1.5pt" o:hralign="center" o:hrstd="t" o:hr="t"/>
        </w:pict>
      </w:r>
    </w:p>
    <w:bookmarkEnd w:id="21"/>
    <w:bookmarkEnd w:id="22"/>
    <w:bookmarkStart w:id="35" w:name="notes-del-presentador-per-diapositiva"/>
    <w:p>
      <w:pPr>
        <w:pStyle w:val="Ttulo2"/>
      </w:pPr>
      <w:r>
        <w:t xml:space="preserve">2. Notes del presentador per diapositiva</w:t>
      </w:r>
    </w:p>
    <w:bookmarkStart w:id="23" w:name="portada---135"/>
    <w:p>
      <w:pPr>
        <w:pStyle w:val="Ttulo3"/>
      </w:pPr>
      <w:r>
        <w:t xml:space="preserve">1. Portada - 1:35</w:t>
      </w:r>
    </w:p>
    <w:p>
      <w:pPr>
        <w:pStyle w:val="Compact"/>
        <w:numPr>
          <w:ilvl w:val="0"/>
          <w:numId w:val="1002"/>
        </w:numPr>
      </w:pPr>
      <w:r>
        <w:t xml:space="preserve">Funció: obrir la microlliçó i delimitar-ne el focus.</w:t>
      </w:r>
    </w:p>
    <w:p>
      <w:pPr>
        <w:pStyle w:val="Compact"/>
        <w:numPr>
          <w:ilvl w:val="0"/>
          <w:numId w:val="1002"/>
        </w:numPr>
      </w:pPr>
      <w:r>
        <w:t xml:space="preserve">Context: classe de DSI i cas real acreditat de consultoria per a la Generalitat/AGAUR.</w:t>
      </w:r>
    </w:p>
    <w:p>
      <w:pPr>
        <w:pStyle w:val="Compact"/>
        <w:numPr>
          <w:ilvl w:val="0"/>
          <w:numId w:val="1002"/>
        </w:numPr>
      </w:pPr>
      <w:r>
        <w:t xml:space="preserve">Missatge: trobada entre dimensió acadèmica i professional, sense entrar en detalls interns.</w:t>
      </w:r>
    </w:p>
    <w:p>
      <w:pPr>
        <w:pStyle w:val="Compact"/>
        <w:numPr>
          <w:ilvl w:val="0"/>
          <w:numId w:val="1002"/>
        </w:numPr>
      </w:pPr>
      <w:r>
        <w:t xml:space="preserve">No oblidar: no és una panoràmica completa de l’arquitectura hexagonal.</w:t>
      </w:r>
    </w:p>
    <w:p>
      <w:pPr>
        <w:pStyle w:val="Compact"/>
        <w:numPr>
          <w:ilvl w:val="0"/>
          <w:numId w:val="1002"/>
        </w:numPr>
      </w:pPr>
      <w:r>
        <w:t xml:space="preserve">Frase de focus: dissenyar un port de sortida quan el cas d’ús necessita informació externa.</w:t>
      </w:r>
    </w:p>
    <w:p>
      <w:pPr>
        <w:pStyle w:val="Compact"/>
        <w:numPr>
          <w:ilvl w:val="0"/>
          <w:numId w:val="1002"/>
        </w:numPr>
      </w:pPr>
      <w:r>
        <w:t xml:space="preserve">Transició:</w:t>
      </w:r>
      <w:r>
        <w:t xml:space="preserve"> </w:t>
      </w:r>
      <w:r>
        <w:rPr>
          <w:rStyle w:val="VerbatimChar"/>
        </w:rPr>
        <w:t xml:space="preserve">Situem primer la sessió dins l'assignatura.</w:t>
      </w:r>
    </w:p>
    <w:bookmarkEnd w:id="23"/>
    <w:bookmarkStart w:id="24" w:name="on-som-dins-lassignatura---105"/>
    <w:p>
      <w:pPr>
        <w:pStyle w:val="Ttulo3"/>
      </w:pPr>
      <w:r>
        <w:t xml:space="preserve">2. On som dins l’assignatura - 1:05</w:t>
      </w:r>
    </w:p>
    <w:p>
      <w:pPr>
        <w:pStyle w:val="Compact"/>
        <w:numPr>
          <w:ilvl w:val="0"/>
          <w:numId w:val="1003"/>
        </w:numPr>
      </w:pPr>
      <w:r>
        <w:t xml:space="preserve">Funció: justificar l’encaix de la sessió en el pla docent.</w:t>
      </w:r>
    </w:p>
    <w:p>
      <w:pPr>
        <w:pStyle w:val="Compact"/>
        <w:numPr>
          <w:ilvl w:val="0"/>
          <w:numId w:val="1003"/>
        </w:numPr>
      </w:pPr>
      <w:r>
        <w:t xml:space="preserve">Assenyalar: DSI, 3r curs i 6 ECTS.</w:t>
      </w:r>
    </w:p>
    <w:p>
      <w:pPr>
        <w:pStyle w:val="Compact"/>
        <w:numPr>
          <w:ilvl w:val="0"/>
          <w:numId w:val="1003"/>
        </w:numPr>
      </w:pPr>
      <w:r>
        <w:t xml:space="preserve">Bloc: Clean Architecture, arquitectura hexagonal, ports i adaptadors, mapping, modularització i DDD.</w:t>
      </w:r>
    </w:p>
    <w:p>
      <w:pPr>
        <w:pStyle w:val="Compact"/>
        <w:numPr>
          <w:ilvl w:val="0"/>
          <w:numId w:val="1003"/>
        </w:numPr>
      </w:pPr>
      <w:r>
        <w:t xml:space="preserve">No convertir la diapositiva en una enumeració llarga del temari: el focus és una decisió concreta sobre ports de sortida.</w:t>
      </w:r>
    </w:p>
    <w:p>
      <w:pPr>
        <w:pStyle w:val="Compact"/>
        <w:numPr>
          <w:ilvl w:val="0"/>
          <w:numId w:val="1003"/>
        </w:numPr>
      </w:pPr>
      <w:r>
        <w:t xml:space="preserve">Transició:</w:t>
      </w:r>
      <w:r>
        <w:t xml:space="preserve"> </w:t>
      </w:r>
      <w:r>
        <w:rPr>
          <w:rStyle w:val="VerbatimChar"/>
        </w:rPr>
        <w:t xml:space="preserve">Amb aquest context, formulem l'objectiu mínim de la sessió.</w:t>
      </w:r>
    </w:p>
    <w:bookmarkEnd w:id="24"/>
    <w:bookmarkStart w:id="25" w:name="objectiu-de-la-sessió---055"/>
    <w:p>
      <w:pPr>
        <w:pStyle w:val="Ttulo3"/>
      </w:pPr>
      <w:r>
        <w:t xml:space="preserve">3. Objectiu de la sessió - 0:55</w:t>
      </w:r>
    </w:p>
    <w:p>
      <w:pPr>
        <w:pStyle w:val="Compact"/>
        <w:numPr>
          <w:ilvl w:val="0"/>
          <w:numId w:val="1004"/>
        </w:numPr>
      </w:pPr>
      <w:r>
        <w:t xml:space="preserve">Funció: diapositiva pont; passar-hi ràpid i no anticipar tota la teoria.</w:t>
      </w:r>
    </w:p>
    <w:p>
      <w:pPr>
        <w:pStyle w:val="Compact"/>
        <w:numPr>
          <w:ilvl w:val="0"/>
          <w:numId w:val="1004"/>
        </w:numPr>
      </w:pPr>
      <w:r>
        <w:t xml:space="preserve">Frase clau, mirant el tribunal:</w:t>
      </w:r>
      <w:r>
        <w:t xml:space="preserve"> </w:t>
      </w:r>
      <w:r>
        <w:rPr>
          <w:rStyle w:val="VerbatimChar"/>
        </w:rPr>
        <w:t xml:space="preserve">El cas d'ús necessita una capacitat, no una tecnologia.</w:t>
      </w:r>
    </w:p>
    <w:p>
      <w:pPr>
        <w:pStyle w:val="Compact"/>
        <w:numPr>
          <w:ilvl w:val="0"/>
          <w:numId w:val="1004"/>
        </w:numPr>
      </w:pPr>
      <w:r>
        <w:t xml:space="preserve">Assenyalar les tres decisions: identificar necessitat, definir port i implementar adaptador(s).</w:t>
      </w:r>
    </w:p>
    <w:p>
      <w:pPr>
        <w:pStyle w:val="Compact"/>
        <w:numPr>
          <w:ilvl w:val="0"/>
          <w:numId w:val="1004"/>
        </w:numPr>
      </w:pPr>
      <w:r>
        <w:t xml:space="preserve">Metodologia: primer el cas real; després, l’abstracció arquitectònica.</w:t>
      </w:r>
    </w:p>
    <w:p>
      <w:pPr>
        <w:pStyle w:val="Compact"/>
        <w:numPr>
          <w:ilvl w:val="0"/>
          <w:numId w:val="1004"/>
        </w:numPr>
      </w:pPr>
      <w:r>
        <w:t xml:space="preserve">Transició:</w:t>
      </w:r>
      <w:r>
        <w:t xml:space="preserve"> </w:t>
      </w:r>
      <w:r>
        <w:rPr>
          <w:rStyle w:val="VerbatimChar"/>
        </w:rPr>
        <w:t xml:space="preserve">Comencem, per tant, pel procediment de beca.</w:t>
      </w:r>
    </w:p>
    <w:bookmarkEnd w:id="25"/>
    <w:bookmarkStart w:id="26" w:name="avaluació-econòmica---145"/>
    <w:p>
      <w:pPr>
        <w:pStyle w:val="Ttulo3"/>
      </w:pPr>
      <w:r>
        <w:t xml:space="preserve">4. Avaluació econòmica - 1:45</w:t>
      </w:r>
    </w:p>
    <w:p>
      <w:pPr>
        <w:pStyle w:val="Compact"/>
        <w:numPr>
          <w:ilvl w:val="0"/>
          <w:numId w:val="1005"/>
        </w:numPr>
      </w:pPr>
      <w:r>
        <w:t xml:space="preserve">Funció: establir el problema funcional abans de parlar de tecnologia.</w:t>
      </w:r>
    </w:p>
    <w:p>
      <w:pPr>
        <w:pStyle w:val="Compact"/>
        <w:numPr>
          <w:ilvl w:val="0"/>
          <w:numId w:val="1005"/>
        </w:numPr>
      </w:pPr>
      <w:r>
        <w:t xml:space="preserve">Assenyalar la seqüència: sol·licitud, expedient, requisits, revisió i resolució.</w:t>
      </w:r>
    </w:p>
    <w:p>
      <w:pPr>
        <w:pStyle w:val="Compact"/>
        <w:numPr>
          <w:ilvl w:val="0"/>
          <w:numId w:val="1005"/>
        </w:numPr>
      </w:pPr>
      <w:r>
        <w:t xml:space="preserve">Focus: l’avaluació econòmica necessita renda i patrimoni fiables.</w:t>
      </w:r>
    </w:p>
    <w:p>
      <w:pPr>
        <w:pStyle w:val="Compact"/>
        <w:numPr>
          <w:ilvl w:val="0"/>
          <w:numId w:val="1005"/>
        </w:numPr>
      </w:pPr>
      <w:r>
        <w:t xml:space="preserve">No oblidar: la decisió administrativa i el mecanisme tècnic són nivells diferents.</w:t>
      </w:r>
    </w:p>
    <w:p>
      <w:pPr>
        <w:pStyle w:val="Compact"/>
        <w:numPr>
          <w:ilvl w:val="0"/>
          <w:numId w:val="1005"/>
        </w:numPr>
      </w:pPr>
      <w:r>
        <w:t xml:space="preserve">Evitar encara SOAP, REST, PICA o bases de dades.</w:t>
      </w:r>
    </w:p>
    <w:p>
      <w:pPr>
        <w:pStyle w:val="Compact"/>
        <w:numPr>
          <w:ilvl w:val="0"/>
          <w:numId w:val="1005"/>
        </w:numPr>
      </w:pPr>
      <w:r>
        <w:t xml:space="preserve">Transició:</w:t>
      </w:r>
      <w:r>
        <w:t xml:space="preserve"> </w:t>
      </w:r>
      <w:r>
        <w:rPr>
          <w:rStyle w:val="VerbatimChar"/>
        </w:rPr>
        <w:t xml:space="preserve">Quina informació externa necessita el procediment per prendre aquesta decisió?</w:t>
      </w:r>
    </w:p>
    <w:bookmarkEnd w:id="26"/>
    <w:bookmarkStart w:id="27" w:name="informació-externa---145"/>
    <w:p>
      <w:pPr>
        <w:pStyle w:val="Ttulo3"/>
      </w:pPr>
      <w:r>
        <w:t xml:space="preserve">5. Informació externa - 1:45</w:t>
      </w:r>
    </w:p>
    <w:p>
      <w:pPr>
        <w:pStyle w:val="Compact"/>
        <w:numPr>
          <w:ilvl w:val="0"/>
          <w:numId w:val="1006"/>
        </w:numPr>
      </w:pPr>
      <w:r>
        <w:t xml:space="preserve">Funció: separar necessitat funcional, font administrativa i canal d’interoperabilitat.</w:t>
      </w:r>
    </w:p>
    <w:p>
      <w:pPr>
        <w:pStyle w:val="Compact"/>
        <w:numPr>
          <w:ilvl w:val="0"/>
          <w:numId w:val="1006"/>
        </w:numPr>
      </w:pPr>
      <w:r>
        <w:t xml:space="preserve">Necessitats: renda, patrimoni i béns immobles.</w:t>
      </w:r>
    </w:p>
    <w:p>
      <w:pPr>
        <w:pStyle w:val="Compact"/>
        <w:numPr>
          <w:ilvl w:val="0"/>
          <w:numId w:val="1006"/>
        </w:numPr>
      </w:pPr>
      <w:r>
        <w:t xml:space="preserve">Fonts: AEAT i Cadastre. Canal corporatiu: PICA.</w:t>
      </w:r>
    </w:p>
    <w:p>
      <w:pPr>
        <w:pStyle w:val="Compact"/>
        <w:numPr>
          <w:ilvl w:val="0"/>
          <w:numId w:val="1006"/>
        </w:numPr>
      </w:pPr>
      <w:r>
        <w:t xml:space="preserve">No presentar PICA com una font original del mateix tipus que AEAT o Cadastre.</w:t>
      </w:r>
    </w:p>
    <w:p>
      <w:pPr>
        <w:pStyle w:val="Compact"/>
        <w:numPr>
          <w:ilvl w:val="0"/>
          <w:numId w:val="1006"/>
        </w:numPr>
      </w:pPr>
      <w:r>
        <w:t xml:space="preserve">Frase clau, amb pausa:</w:t>
      </w:r>
      <w:r>
        <w:t xml:space="preserve"> </w:t>
      </w:r>
      <w:r>
        <w:rPr>
          <w:rStyle w:val="VerbatimChar"/>
        </w:rPr>
        <w:t xml:space="preserve">El procediment necessita informació administrativa, no una API concreta.</w:t>
      </w:r>
    </w:p>
    <w:p>
      <w:pPr>
        <w:pStyle w:val="Compact"/>
        <w:numPr>
          <w:ilvl w:val="0"/>
          <w:numId w:val="1006"/>
        </w:numPr>
      </w:pPr>
      <w:r>
        <w:t xml:space="preserve">Transició:</w:t>
      </w:r>
      <w:r>
        <w:t xml:space="preserve"> </w:t>
      </w:r>
      <w:r>
        <w:rPr>
          <w:rStyle w:val="VerbatimChar"/>
        </w:rPr>
        <w:t xml:space="preserve">Quan aquesta separació no es respecta, apareix el problema arquitectònic.</w:t>
      </w:r>
    </w:p>
    <w:bookmarkEnd w:id="27"/>
    <w:bookmarkStart w:id="28" w:name="dependència-directa---220"/>
    <w:p>
      <w:pPr>
        <w:pStyle w:val="Ttulo3"/>
      </w:pPr>
      <w:r>
        <w:t xml:space="preserve">6. Dependència directa - 2:20</w:t>
      </w:r>
    </w:p>
    <w:p>
      <w:pPr>
        <w:pStyle w:val="Compact"/>
        <w:numPr>
          <w:ilvl w:val="0"/>
          <w:numId w:val="1007"/>
        </w:numPr>
      </w:pPr>
      <w:r>
        <w:t xml:space="preserve">Funció: diagnosticar una cadena causal, no enumerar tres riscos independents.</w:t>
      </w:r>
    </w:p>
    <w:p>
      <w:pPr>
        <w:pStyle w:val="Compact"/>
        <w:numPr>
          <w:ilvl w:val="0"/>
          <w:numId w:val="1007"/>
        </w:numPr>
      </w:pPr>
      <w:r>
        <w:t xml:space="preserve">Assenyalar d’esquerra a dreta: causa (acoblament) -&gt; propagació (el canvi travessa la frontera) -&gt; conseqüència (més codi afectat i manteniment més fràgil).</w:t>
      </w:r>
    </w:p>
    <w:p>
      <w:pPr>
        <w:pStyle w:val="Compact"/>
        <w:numPr>
          <w:ilvl w:val="0"/>
          <w:numId w:val="1007"/>
        </w:numPr>
      </w:pPr>
      <w:r>
        <w:t xml:space="preserve">Idea: un únic acoblament converteix el canvi d’infraestructura en un canvi que arriba al procediment.</w:t>
      </w:r>
    </w:p>
    <w:p>
      <w:pPr>
        <w:pStyle w:val="Compact"/>
        <w:numPr>
          <w:ilvl w:val="0"/>
          <w:numId w:val="1007"/>
        </w:numPr>
      </w:pPr>
      <w:r>
        <w:t xml:space="preserve">No oblidar: el problema no és PICA; és la dependència directa dels seus detalls tècnics.</w:t>
      </w:r>
    </w:p>
    <w:p>
      <w:pPr>
        <w:pStyle w:val="Compact"/>
        <w:numPr>
          <w:ilvl w:val="0"/>
          <w:numId w:val="1007"/>
        </w:numPr>
      </w:pPr>
      <w:r>
        <w:t xml:space="preserve">Pregunta docent, literal:</w:t>
      </w:r>
      <w:r>
        <w:t xml:space="preserve"> </w:t>
      </w:r>
      <w:r>
        <w:rPr>
          <w:rStyle w:val="VerbatimChar"/>
        </w:rPr>
        <w:t xml:space="preserve">Com podem permetre que el cas d'ús necessiti dades externes, però sense dependre directament de la tecnologia que les proporciona?</w:t>
      </w:r>
    </w:p>
    <w:p>
      <w:pPr>
        <w:pStyle w:val="Compact"/>
        <w:numPr>
          <w:ilvl w:val="0"/>
          <w:numId w:val="1007"/>
        </w:numPr>
      </w:pPr>
      <w:r>
        <w:t xml:space="preserve">Fer una pausa. Transició:</w:t>
      </w:r>
      <w:r>
        <w:t xml:space="preserve"> </w:t>
      </w:r>
      <w:r>
        <w:rPr>
          <w:rStyle w:val="VerbatimChar"/>
        </w:rPr>
        <w:t xml:space="preserve">La resposta és introduir un port de sortida.</w:t>
      </w:r>
    </w:p>
    <w:bookmarkEnd w:id="28"/>
    <w:bookmarkStart w:id="29" w:name="port-i-adaptador---220"/>
    <w:p>
      <w:pPr>
        <w:pStyle w:val="Ttulo3"/>
      </w:pPr>
      <w:r>
        <w:t xml:space="preserve">7. Port i adaptador - 2:20</w:t>
      </w:r>
    </w:p>
    <w:p>
      <w:pPr>
        <w:pStyle w:val="Compact"/>
        <w:numPr>
          <w:ilvl w:val="0"/>
          <w:numId w:val="1008"/>
        </w:numPr>
      </w:pPr>
      <w:r>
        <w:t xml:space="preserve">Funció: frontissa conceptual forta; baixar el ritme.</w:t>
      </w:r>
    </w:p>
    <w:p>
      <w:pPr>
        <w:pStyle w:val="Compact"/>
        <w:numPr>
          <w:ilvl w:val="0"/>
          <w:numId w:val="1008"/>
        </w:numPr>
      </w:pPr>
      <w:r>
        <w:t xml:space="preserve">Primera línia: flux d’execució, del cas d’ús cap al sistema extern.</w:t>
      </w:r>
    </w:p>
    <w:p>
      <w:pPr>
        <w:pStyle w:val="Compact"/>
        <w:numPr>
          <w:ilvl w:val="0"/>
          <w:numId w:val="1008"/>
        </w:numPr>
      </w:pPr>
      <w:r>
        <w:t xml:space="preserve">Segona línia: dependència de codi; el cas d’ús depèn del port i l’adaptador implementa el port.</w:t>
      </w:r>
    </w:p>
    <w:p>
      <w:pPr>
        <w:pStyle w:val="Compact"/>
        <w:numPr>
          <w:ilvl w:val="0"/>
          <w:numId w:val="1008"/>
        </w:numPr>
      </w:pPr>
      <w:r>
        <w:t xml:space="preserve">Assenyalar el mini-UML: el port és un contracte; en Java el representem amb una interfície.</w:t>
      </w:r>
    </w:p>
    <w:p>
      <w:pPr>
        <w:pStyle w:val="Compact"/>
        <w:numPr>
          <w:ilvl w:val="0"/>
          <w:numId w:val="1008"/>
        </w:numPr>
      </w:pPr>
      <w:r>
        <w:t xml:space="preserve">Frase clau:</w:t>
      </w:r>
      <w:r>
        <w:t xml:space="preserve"> </w:t>
      </w:r>
      <w:r>
        <w:rPr>
          <w:rStyle w:val="VerbatimChar"/>
        </w:rPr>
        <w:t xml:space="preserve">El servei usa el port; l'adaptador implementa el port.</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w:t>
      </w:r>
      <w:r>
        <w:t xml:space="preserve"> </w:t>
      </w:r>
      <w:r>
        <w:rPr>
          <w:rStyle w:val="VerbatimChar"/>
        </w:rPr>
        <w:t xml:space="preserve">Apliquem ara aquesta distinció a la informació patrimonial.</w:t>
      </w:r>
    </w:p>
    <w:bookmarkEnd w:id="29"/>
    <w:bookmarkStart w:id="30" w:name="port-patrimonial---145"/>
    <w:p>
      <w:pPr>
        <w:pStyle w:val="Ttulo3"/>
      </w:pPr>
      <w:r>
        <w:t xml:space="preserve">8. Port patrimonial - 1:45</w:t>
      </w:r>
    </w:p>
    <w:p>
      <w:pPr>
        <w:pStyle w:val="Compact"/>
        <w:numPr>
          <w:ilvl w:val="0"/>
          <w:numId w:val="1009"/>
        </w:numPr>
      </w:pPr>
      <w:r>
        <w:t xml:space="preserve">Funció: aplicar la distinció al cas administratiu.</w:t>
      </w:r>
    </w:p>
    <w:p>
      <w:pPr>
        <w:pStyle w:val="Compact"/>
        <w:numPr>
          <w:ilvl w:val="0"/>
          <w:numId w:val="1009"/>
        </w:numPr>
      </w:pPr>
      <w:r>
        <w:t xml:space="preserve">Nucli: servei d’aplicació i domini; el servei depèn de contractes propis.</w:t>
      </w:r>
    </w:p>
    <w:p>
      <w:pPr>
        <w:pStyle w:val="Compact"/>
        <w:numPr>
          <w:ilvl w:val="0"/>
          <w:numId w:val="1009"/>
        </w:numPr>
      </w:pPr>
      <w:r>
        <w:t xml:space="preserve">Exterior: adaptadors PICA/JDBC i mecanismes SOAP/XML o REST.</w:t>
      </w:r>
    </w:p>
    <w:p>
      <w:pPr>
        <w:pStyle w:val="Compact"/>
        <w:numPr>
          <w:ilvl w:val="0"/>
          <w:numId w:val="1009"/>
        </w:numPr>
      </w:pPr>
      <w:r>
        <w:t xml:space="preserve">Llegir bé les fletxes: el servei usa el port; l’adaptador implementa el port.</w:t>
      </w:r>
    </w:p>
    <w:p>
      <w:pPr>
        <w:pStyle w:val="Compact"/>
        <w:numPr>
          <w:ilvl w:val="0"/>
          <w:numId w:val="1009"/>
        </w:numPr>
      </w:pPr>
      <w:r>
        <w:t xml:space="preserve">No oblidar: el domini no coneix ni PICA ni els adaptadors.</w:t>
      </w:r>
    </w:p>
    <w:p>
      <w:pPr>
        <w:pStyle w:val="Compact"/>
        <w:numPr>
          <w:ilvl w:val="0"/>
          <w:numId w:val="1009"/>
        </w:numPr>
      </w:pPr>
      <w:r>
        <w:t xml:space="preserve">Transició:</w:t>
      </w:r>
      <w:r>
        <w:t xml:space="preserve"> </w:t>
      </w:r>
      <w:r>
        <w:rPr>
          <w:rStyle w:val="VerbatimChar"/>
        </w:rPr>
        <w:t xml:space="preserve">Transferim la mateixa decisió arquitectònica a un domini financer.</w:t>
      </w:r>
    </w:p>
    <w:bookmarkEnd w:id="30"/>
    <w:bookmarkStart w:id="31" w:name="domini-financer---125"/>
    <w:p>
      <w:pPr>
        <w:pStyle w:val="Ttulo3"/>
      </w:pPr>
      <w:r>
        <w:t xml:space="preserve">9. Domini financer - 1:25</w:t>
      </w:r>
    </w:p>
    <w:p>
      <w:pPr>
        <w:pStyle w:val="Compact"/>
        <w:numPr>
          <w:ilvl w:val="0"/>
          <w:numId w:val="1010"/>
        </w:numPr>
      </w:pPr>
      <w:r>
        <w:t xml:space="preserve">Funció: demostrar que la decisió es transfereix entre dominis.</w:t>
      </w:r>
    </w:p>
    <w:p>
      <w:pPr>
        <w:pStyle w:val="Compact"/>
        <w:numPr>
          <w:ilvl w:val="0"/>
          <w:numId w:val="1010"/>
        </w:numPr>
      </w:pPr>
      <w:r>
        <w:t xml:space="preserve">Canvi explícit: beca -&gt; cartera d’inversió personal.</w:t>
      </w:r>
    </w:p>
    <w:p>
      <w:pPr>
        <w:pStyle w:val="Compact"/>
        <w:numPr>
          <w:ilvl w:val="0"/>
          <w:numId w:val="1010"/>
        </w:numPr>
      </w:pPr>
      <w:r>
        <w:t xml:space="preserve">Cas d’ús: vendre accions. Necessitat: preu actual. Port:</w:t>
      </w:r>
      <w:r>
        <w:t xml:space="preserve"> </w:t>
      </w:r>
      <w:r>
        <w:rPr>
          <w:rStyle w:val="VerbatimChar"/>
        </w:rPr>
        <w:t xml:space="preserve">StockPriceProviderPort</w:t>
      </w:r>
      <w:r>
        <w:t xml:space="preserve">.</w:t>
      </w:r>
    </w:p>
    <w:p>
      <w:pPr>
        <w:pStyle w:val="Compact"/>
        <w:numPr>
          <w:ilvl w:val="0"/>
          <w:numId w:val="1010"/>
        </w:numPr>
      </w:pPr>
      <w:r>
        <w:t xml:space="preserve">Els adaptadors Finnhub, Alpha Vantage o mock encapsulen APIs concretes.</w:t>
      </w:r>
    </w:p>
    <w:p>
      <w:pPr>
        <w:pStyle w:val="Compact"/>
        <w:numPr>
          <w:ilvl w:val="0"/>
          <w:numId w:val="1010"/>
        </w:numPr>
      </w:pPr>
      <w:r>
        <w:t xml:space="preserve">Frase de repartiment:</w:t>
      </w:r>
      <w:r>
        <w:t xml:space="preserve"> </w:t>
      </w:r>
      <w:r>
        <w:rPr>
          <w:rStyle w:val="VerbatimChar"/>
        </w:rPr>
        <w:t xml:space="preserve">El servei coordina; el domini decideix; l'adaptador integra.</w:t>
      </w:r>
    </w:p>
    <w:p>
      <w:pPr>
        <w:pStyle w:val="Compact"/>
        <w:numPr>
          <w:ilvl w:val="0"/>
          <w:numId w:val="1010"/>
        </w:numPr>
      </w:pPr>
      <w:r>
        <w:t xml:space="preserve">No afirmar substituïbilitat màgica: cal preservar el contracte funcional i la semàntica.</w:t>
      </w:r>
    </w:p>
    <w:p>
      <w:pPr>
        <w:pStyle w:val="Compact"/>
        <w:numPr>
          <w:ilvl w:val="0"/>
          <w:numId w:val="1010"/>
        </w:numPr>
      </w:pPr>
      <w:r>
        <w:t xml:space="preserve">Transició:</w:t>
      </w:r>
      <w:r>
        <w:t xml:space="preserve"> </w:t>
      </w:r>
      <w:r>
        <w:rPr>
          <w:rStyle w:val="VerbatimChar"/>
        </w:rPr>
        <w:t xml:space="preserve">Canvia el domini, però es manté la decisió arquitectònica.</w:t>
      </w:r>
    </w:p>
    <w:bookmarkEnd w:id="31"/>
    <w:bookmarkStart w:id="32" w:name="idea-clau-i-tancament---045"/>
    <w:p>
      <w:pPr>
        <w:pStyle w:val="Ttulo3"/>
      </w:pPr>
      <w:r>
        <w:t xml:space="preserve">10. Idea clau i tancament - 0:45</w:t>
      </w:r>
    </w:p>
    <w:p>
      <w:pPr>
        <w:pStyle w:val="Compact"/>
        <w:numPr>
          <w:ilvl w:val="0"/>
          <w:numId w:val="1011"/>
        </w:numPr>
      </w:pPr>
      <w:r>
        <w:t xml:space="preserve">Funció: tancar el contingut tècnic, sense introduir res de nou.</w:t>
      </w:r>
    </w:p>
    <w:p>
      <w:pPr>
        <w:pStyle w:val="Compact"/>
        <w:numPr>
          <w:ilvl w:val="0"/>
          <w:numId w:val="1011"/>
        </w:numPr>
      </w:pPr>
      <w:r>
        <w:t xml:space="preserve">Recuperar les tres decisions: necessitat funcional, port i adaptador.</w:t>
      </w:r>
    </w:p>
    <w:p>
      <w:pPr>
        <w:pStyle w:val="Compact"/>
        <w:numPr>
          <w:ilvl w:val="0"/>
          <w:numId w:val="1011"/>
        </w:numPr>
      </w:pPr>
      <w:r>
        <w:t xml:space="preserve">Matís: l’arquitectura no elimina la dependència externa ni tots els canvis; en localitza l’impacte.</w:t>
      </w:r>
    </w:p>
    <w:p>
      <w:pPr>
        <w:pStyle w:val="Compact"/>
        <w:numPr>
          <w:ilvl w:val="0"/>
          <w:numId w:val="1011"/>
        </w:numPr>
      </w:pPr>
      <w:r>
        <w:t xml:space="preserve">Frase final, amb pausa i mirant el tribunal:</w:t>
      </w:r>
      <w:r>
        <w:t xml:space="preserve"> </w:t>
      </w:r>
      <w:r>
        <w:rPr>
          <w:rStyle w:val="VerbatimChar"/>
        </w:rPr>
        <w:t xml:space="preserve">L'arquitectura no elimina el canvi; el localitza.</w:t>
      </w:r>
    </w:p>
    <w:p>
      <w:pPr>
        <w:pStyle w:val="Compact"/>
        <w:numPr>
          <w:ilvl w:val="0"/>
          <w:numId w:val="1011"/>
        </w:numPr>
      </w:pPr>
      <w:r>
        <w:t xml:space="preserve">No fer encara l’agraïment: donar pas net a la diapositiva 11.</w:t>
      </w:r>
    </w:p>
    <w:bookmarkEnd w:id="32"/>
    <w:bookmarkStart w:id="33" w:name="agraïment---025"/>
    <w:p>
      <w:pPr>
        <w:pStyle w:val="Ttulo3"/>
      </w:pPr>
      <w:r>
        <w:t xml:space="preserve">11. Agraïment - 0:25</w:t>
      </w:r>
    </w:p>
    <w:p>
      <w:pPr>
        <w:pStyle w:val="Compact"/>
        <w:numPr>
          <w:ilvl w:val="0"/>
          <w:numId w:val="1012"/>
        </w:numPr>
      </w:pPr>
      <w:r>
        <w:t xml:space="preserve">Funció: tancament institucional i protocol·lari.</w:t>
      </w:r>
    </w:p>
    <w:p>
      <w:pPr>
        <w:pStyle w:val="Compact"/>
        <w:numPr>
          <w:ilvl w:val="0"/>
          <w:numId w:val="1012"/>
        </w:numPr>
      </w:pPr>
      <w:r>
        <w:t xml:space="preserve">Llegir la frase d’agraïment literal; no resumir-la ni canviar-ne cap paraula.</w:t>
      </w:r>
    </w:p>
    <w:p>
      <w:pPr>
        <w:pStyle w:val="Compact"/>
        <w:numPr>
          <w:ilvl w:val="0"/>
          <w:numId w:val="1012"/>
        </w:numPr>
      </w:pPr>
      <w:r>
        <w:t xml:space="preserve">No afegir noms de persones ni altres agraïments.</w:t>
      </w:r>
    </w:p>
    <w:p>
      <w:pPr>
        <w:pStyle w:val="Compact"/>
        <w:numPr>
          <w:ilvl w:val="0"/>
          <w:numId w:val="1012"/>
        </w:numPr>
      </w:pPr>
      <w:r>
        <w:t xml:space="preserve">Fer una pausa natural abans de</w:t>
      </w:r>
      <w:r>
        <w:t xml:space="preserve"> </w:t>
      </w:r>
      <w:r>
        <w:rPr>
          <w:rStyle w:val="VerbatimChar"/>
        </w:rPr>
        <w:t xml:space="preserve">Moltes gràcies</w:t>
      </w:r>
      <w:r>
        <w:t xml:space="preserve"> </w:t>
      </w:r>
      <w:r>
        <w:t xml:space="preserve">i dir-ho mirant el tribunal.</w:t>
      </w:r>
    </w:p>
    <w:p>
      <w:pPr>
        <w:pStyle w:val="Compact"/>
        <w:numPr>
          <w:ilvl w:val="0"/>
          <w:numId w:val="1012"/>
        </w:numPr>
      </w:pPr>
      <w:r>
        <w:t xml:space="preserve">Després de</w:t>
      </w:r>
      <w:r>
        <w:t xml:space="preserve"> </w:t>
      </w:r>
      <w:r>
        <w:rPr>
          <w:rStyle w:val="VerbatimChar"/>
        </w:rPr>
        <w:t xml:space="preserve">Moltes gràcies</w:t>
      </w:r>
      <w:r>
        <w:t xml:space="preserve">, la classe queda formalment tancada.</w:t>
      </w:r>
    </w:p>
    <w:p>
      <w:pPr>
        <w:pStyle w:val="Compact"/>
        <w:numPr>
          <w:ilvl w:val="0"/>
          <w:numId w:val="1012"/>
        </w:numPr>
      </w:pPr>
      <w:r>
        <w:t xml:space="preserve">No obrir la demo si el tribunal no la demana o si no hi ha temps explícit.</w:t>
      </w:r>
    </w:p>
    <w:bookmarkEnd w:id="33"/>
    <w:bookmarkStart w:id="34" w:name="annex-a.-demo-opcional---130-a-230-1"/>
    <w:p>
      <w:pPr>
        <w:pStyle w:val="Ttulo3"/>
      </w:pPr>
      <w:r>
        <w:t xml:space="preserve">Annex A. Demo opcional - 1:30 a 2:30</w:t>
      </w:r>
    </w:p>
    <w:p>
      <w:pPr>
        <w:pStyle w:val="Compact"/>
        <w:numPr>
          <w:ilvl w:val="0"/>
          <w:numId w:val="1013"/>
        </w:numPr>
      </w:pPr>
      <w:r>
        <w:t xml:space="preserve">Funció: verificació pràctica opcional, posterior al tancament formal.</w:t>
      </w:r>
    </w:p>
    <w:p>
      <w:pPr>
        <w:pStyle w:val="Compact"/>
        <w:numPr>
          <w:ilvl w:val="0"/>
          <w:numId w:val="1013"/>
        </w:numPr>
      </w:pPr>
      <w:r>
        <w:t xml:space="preserve">Activar només si el tribunal ho demana o hi ha temps explícit.</w:t>
      </w:r>
    </w:p>
    <w:p>
      <w:pPr>
        <w:pStyle w:val="Compact"/>
        <w:numPr>
          <w:ilvl w:val="0"/>
          <w:numId w:val="1013"/>
        </w:numPr>
      </w:pPr>
      <w:r>
        <w:t xml:space="preserve">Assenyalar: mateix cas d’ús, mateix servei i mateix domini; canvia l’adaptador.</w:t>
      </w:r>
    </w:p>
    <w:p>
      <w:pPr>
        <w:pStyle w:val="Compact"/>
        <w:numPr>
          <w:ilvl w:val="0"/>
          <w:numId w:val="1013"/>
        </w:numPr>
      </w:pPr>
      <w:r>
        <w:t xml:space="preserve">Perfils: Finnhub, Alpha Vantage o mock; són implementacions, no el contracte.</w:t>
      </w:r>
    </w:p>
    <w:p>
      <w:pPr>
        <w:pStyle w:val="Compact"/>
        <w:numPr>
          <w:ilvl w:val="0"/>
          <w:numId w:val="1013"/>
        </w:numPr>
      </w:pPr>
      <w:r>
        <w:t xml:space="preserve">Utilitat docent: provar sense claus reals ni disponibilitat del proveïdor.</w:t>
      </w:r>
    </w:p>
    <w:p>
      <w:pPr>
        <w:pStyle w:val="Compact"/>
        <w:numPr>
          <w:ilvl w:val="0"/>
          <w:numId w:val="1013"/>
        </w:numPr>
      </w:pPr>
      <w:r>
        <w:t xml:space="preserve">Frase clau:</w:t>
      </w:r>
      <w:r>
        <w:t xml:space="preserve"> </w:t>
      </w:r>
      <w:r>
        <w:rPr>
          <w:rStyle w:val="VerbatimChar"/>
        </w:rPr>
        <w:t xml:space="preserve">Canvia la infraestructura; el cas d'ús i el domini romanen estables.</w:t>
      </w:r>
    </w:p>
    <w:p>
      <w:pPr>
        <w:pStyle w:val="Compact"/>
        <w:numPr>
          <w:ilvl w:val="0"/>
          <w:numId w:val="1013"/>
        </w:numPr>
      </w:pPr>
      <w:r>
        <w:t xml:space="preserve">No convertir l’annex en una segona explicació llarga.</w:t>
      </w:r>
    </w:p>
    <w:p>
      <w:r>
        <w:pict>
          <v:rect style="width:0;height:1.5pt" o:hralign="center" o:hrstd="t" o:hr="t"/>
        </w:pict>
      </w:r>
    </w:p>
    <w:bookmarkEnd w:id="34"/>
    <w:bookmarkEnd w:id="35"/>
    <w:bookmarkStart w:id="36" w:name="esquema-de-memorització"/>
    <w:p>
      <w:pPr>
        <w:pStyle w:val="Ttulo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Un acoblament es propaga fins al procediment</w:t>
            </w:r>
          </w:p>
        </w:tc>
        <w:tc>
          <w:tcPr/>
          <w:p>
            <w:pPr>
              <w:pStyle w:val="Compact"/>
            </w:pPr>
            <w:r>
              <w:t xml:space="preserve">Causa, propagació i conseqüència</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10</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Agraïment</w:t>
            </w:r>
          </w:p>
        </w:tc>
      </w:tr>
      <w:tr>
        <w:tc>
          <w:tcPr/>
          <w:p>
            <w:pPr>
              <w:pStyle w:val="Compact"/>
            </w:pPr>
            <w:r>
              <w:t xml:space="preserve">11</w:t>
            </w:r>
          </w:p>
        </w:tc>
        <w:tc>
          <w:tcPr/>
          <w:p>
            <w:pPr>
              <w:pStyle w:val="Compact"/>
            </w:pPr>
            <w:r>
              <w:t xml:space="preserve">Agraïment institucional i tancament formal</w:t>
            </w:r>
          </w:p>
        </w:tc>
        <w:tc>
          <w:tcPr/>
          <w:p>
            <w:pPr>
              <w:pStyle w:val="Compact"/>
            </w:pPr>
            <w:r>
              <w:t xml:space="preserve">Cap contingut tècnic nou</w:t>
            </w:r>
          </w:p>
        </w:tc>
        <w:tc>
          <w:tcPr/>
          <w:p>
            <w:pPr>
              <w:pStyle w:val="Compact"/>
            </w:pPr>
            <w:r>
              <w:t xml:space="preserve">Idea clau</w:t>
            </w:r>
          </w:p>
        </w:tc>
        <w:tc>
          <w:tcPr/>
          <w:p>
            <w:pPr>
              <w:pStyle w:val="Compact"/>
            </w:pPr>
            <w:r>
              <w:t xml:space="preserve">Preguntes / annex si escau</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Textoindependiente"/>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 -&gt; agraïment</w:t>
      </w:r>
      <w:r>
        <w:t xml:space="preserve">.</w:t>
      </w:r>
    </w:p>
    <w:p>
      <w:pPr>
        <w:pStyle w:val="Textoindependiente"/>
      </w:pPr>
      <w:r>
        <w:t xml:space="preserve">Mantra de l’annex opcional:</w:t>
      </w:r>
      <w:r>
        <w:t xml:space="preserve"> </w:t>
      </w:r>
      <w:r>
        <w:rPr>
          <w:rStyle w:val="VerbatimChar"/>
        </w:rPr>
        <w:t xml:space="preserve">mateix cas d'ús -&gt; mateix servei -&gt; mateix domini -&gt; canvia l'adaptador</w:t>
      </w:r>
      <w:r>
        <w:t xml:space="preserve">.</w:t>
      </w:r>
    </w:p>
    <w:p>
      <w:r>
        <w:pict>
          <v:rect style="width:0;height:1.5pt" o:hralign="center" o:hrstd="t" o:hr="t"/>
        </w:pict>
      </w:r>
    </w:p>
    <w:bookmarkEnd w:id="36"/>
    <w:bookmarkStart w:id="37" w:name="taula-temporal-actualitzada"/>
    <w:p>
      <w:pPr>
        <w:pStyle w:val="Ttulo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177</w:t>
            </w:r>
          </w:p>
        </w:tc>
        <w:tc>
          <w:tcPr/>
          <w:p>
            <w:pPr>
              <w:pStyle w:val="Compact"/>
            </w:pPr>
            <w:r>
              <w:t xml:space="preserve">1:25</w:t>
            </w:r>
          </w:p>
        </w:tc>
        <w:tc>
          <w:tcPr/>
          <w:p>
            <w:pPr>
              <w:pStyle w:val="Compact"/>
            </w:pPr>
            <w:r>
              <w:t xml:space="preserve">1:22</w:t>
            </w:r>
          </w:p>
        </w:tc>
        <w:tc>
          <w:tcPr/>
          <w:p>
            <w:pPr>
              <w:pStyle w:val="Compact"/>
            </w:pPr>
            <w:r>
              <w:t xml:space="preserve">1:19</w:t>
            </w:r>
          </w:p>
        </w:tc>
        <w:tc>
          <w:tcPr/>
          <w:p>
            <w:pPr>
              <w:pStyle w:val="Compact"/>
            </w:pPr>
            <w:r>
              <w:t xml:space="preserve">1:22</w:t>
            </w:r>
          </w:p>
        </w:tc>
      </w:tr>
      <w:tr>
        <w:tc>
          <w:tcPr/>
          <w:p>
            <w:pPr>
              <w:pStyle w:val="Compact"/>
            </w:pPr>
            <w:r>
              <w:t xml:space="preserve">2</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3</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4</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5</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6</w:t>
            </w:r>
          </w:p>
        </w:tc>
        <w:tc>
          <w:tcPr/>
          <w:p>
            <w:pPr>
              <w:pStyle w:val="Compact"/>
            </w:pPr>
            <w:r>
              <w:t xml:space="preserve">Dependència directa</w:t>
            </w:r>
          </w:p>
        </w:tc>
        <w:tc>
          <w:tcPr/>
          <w:p>
            <w:pPr>
              <w:pStyle w:val="Compact"/>
            </w:pPr>
            <w:r>
              <w:t xml:space="preserve">299</w:t>
            </w:r>
          </w:p>
        </w:tc>
        <w:tc>
          <w:tcPr/>
          <w:p>
            <w:pPr>
              <w:pStyle w:val="Compact"/>
            </w:pPr>
            <w:r>
              <w:t xml:space="preserve">2:24</w:t>
            </w:r>
          </w:p>
        </w:tc>
        <w:tc>
          <w:tcPr/>
          <w:p>
            <w:pPr>
              <w:pStyle w:val="Compact"/>
            </w:pPr>
            <w:r>
              <w:t xml:space="preserve">2:18</w:t>
            </w:r>
          </w:p>
        </w:tc>
        <w:tc>
          <w:tcPr/>
          <w:p>
            <w:pPr>
              <w:pStyle w:val="Compact"/>
            </w:pPr>
            <w:r>
              <w:t xml:space="preserve">2:13</w:t>
            </w:r>
          </w:p>
        </w:tc>
        <w:tc>
          <w:tcPr/>
          <w:p>
            <w:pPr>
              <w:pStyle w:val="Compact"/>
            </w:pPr>
            <w:r>
              <w:t xml:space="preserve">7:33</w:t>
            </w:r>
          </w:p>
        </w:tc>
      </w:tr>
      <w:tr>
        <w:tc>
          <w:tcPr/>
          <w:p>
            <w:pPr>
              <w:pStyle w:val="Compact"/>
            </w:pPr>
            <w:r>
              <w:t xml:space="preserve">7</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9:34</w:t>
            </w:r>
          </w:p>
        </w:tc>
      </w:tr>
      <w:tr>
        <w:tc>
          <w:tcPr/>
          <w:p>
            <w:pPr>
              <w:pStyle w:val="Compact"/>
            </w:pPr>
            <w:r>
              <w:t xml:space="preserve">8</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11:04</w:t>
            </w:r>
          </w:p>
        </w:tc>
      </w:tr>
      <w:tr>
        <w:tc>
          <w:tcPr/>
          <w:p>
            <w:pPr>
              <w:pStyle w:val="Compact"/>
            </w:pPr>
            <w:r>
              <w:t xml:space="preserve">9</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12:17</w:t>
            </w:r>
          </w:p>
        </w:tc>
      </w:tr>
      <w:tr>
        <w:tc>
          <w:tcPr/>
          <w:p>
            <w:pPr>
              <w:pStyle w:val="Compact"/>
            </w:pPr>
            <w:r>
              <w:t xml:space="preserve">10</w:t>
            </w:r>
          </w:p>
        </w:tc>
        <w:tc>
          <w:tcPr/>
          <w:p>
            <w:pPr>
              <w:pStyle w:val="Compact"/>
            </w:pPr>
            <w:r>
              <w:t xml:space="preserve">Idea clau i tancament</w:t>
            </w:r>
          </w:p>
        </w:tc>
        <w:tc>
          <w:tcPr/>
          <w:p>
            <w:pPr>
              <w:pStyle w:val="Compact"/>
            </w:pPr>
            <w:r>
              <w:t xml:space="preserve">88</w:t>
            </w:r>
          </w:p>
        </w:tc>
        <w:tc>
          <w:tcPr/>
          <w:p>
            <w:pPr>
              <w:pStyle w:val="Compact"/>
            </w:pPr>
            <w:r>
              <w:t xml:space="preserve">0:42</w:t>
            </w:r>
          </w:p>
        </w:tc>
        <w:tc>
          <w:tcPr/>
          <w:p>
            <w:pPr>
              <w:pStyle w:val="Compact"/>
            </w:pPr>
            <w:r>
              <w:t xml:space="preserve">0:41</w:t>
            </w:r>
          </w:p>
        </w:tc>
        <w:tc>
          <w:tcPr/>
          <w:p>
            <w:pPr>
              <w:pStyle w:val="Compact"/>
            </w:pPr>
            <w:r>
              <w:t xml:space="preserve">0:39</w:t>
            </w:r>
          </w:p>
        </w:tc>
        <w:tc>
          <w:tcPr/>
          <w:p>
            <w:pPr>
              <w:pStyle w:val="Compact"/>
            </w:pPr>
            <w:r>
              <w:t xml:space="preserve">12:58</w:t>
            </w:r>
          </w:p>
        </w:tc>
      </w:tr>
      <w:tr>
        <w:tc>
          <w:tcPr/>
          <w:p>
            <w:pPr>
              <w:pStyle w:val="Compact"/>
            </w:pPr>
            <w:r>
              <w:t xml:space="preserve">11</w:t>
            </w:r>
          </w:p>
        </w:tc>
        <w:tc>
          <w:tcPr/>
          <w:p>
            <w:pPr>
              <w:pStyle w:val="Compact"/>
            </w:pPr>
            <w:r>
              <w:t xml:space="preserve">Agraïment</w:t>
            </w:r>
          </w:p>
        </w:tc>
        <w:tc>
          <w:tcPr/>
          <w:p>
            <w:pPr>
              <w:pStyle w:val="Compact"/>
            </w:pPr>
            <w:r>
              <w:t xml:space="preserve">35</w:t>
            </w:r>
          </w:p>
        </w:tc>
        <w:tc>
          <w:tcPr/>
          <w:p>
            <w:pPr>
              <w:pStyle w:val="Compact"/>
            </w:pPr>
            <w:r>
              <w:t xml:space="preserve">0:17</w:t>
            </w:r>
          </w:p>
        </w:tc>
        <w:tc>
          <w:tcPr/>
          <w:p>
            <w:pPr>
              <w:pStyle w:val="Compact"/>
            </w:pPr>
            <w:r>
              <w:t xml:space="preserve">0:16</w:t>
            </w:r>
          </w:p>
        </w:tc>
        <w:tc>
          <w:tcPr/>
          <w:p>
            <w:pPr>
              <w:pStyle w:val="Compact"/>
            </w:pPr>
            <w:r>
              <w:t xml:space="preserve">0:16</w:t>
            </w:r>
          </w:p>
        </w:tc>
        <w:tc>
          <w:tcPr/>
          <w:p>
            <w:pPr>
              <w:pStyle w:val="Compact"/>
            </w:pPr>
            <w:r>
              <w:t xml:space="preserve">13:14</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1.720</w:t>
            </w:r>
          </w:p>
        </w:tc>
        <w:tc>
          <w:tcPr/>
          <w:p>
            <w:pPr>
              <w:pStyle w:val="Compact"/>
            </w:pPr>
            <w:r>
              <w:rPr>
                <w:b/>
                <w:bCs/>
              </w:rPr>
              <w:t xml:space="preserve">13:46</w:t>
            </w:r>
          </w:p>
        </w:tc>
        <w:tc>
          <w:tcPr/>
          <w:p>
            <w:pPr>
              <w:pStyle w:val="Compact"/>
            </w:pPr>
            <w:r>
              <w:rPr>
                <w:b/>
                <w:bCs/>
              </w:rPr>
              <w:t xml:space="preserve">13:14</w:t>
            </w:r>
          </w:p>
        </w:tc>
        <w:tc>
          <w:tcPr/>
          <w:p>
            <w:pPr>
              <w:pStyle w:val="Compact"/>
            </w:pPr>
            <w:r>
              <w:rPr>
                <w:b/>
                <w:bCs/>
              </w:rPr>
              <w:t xml:space="preserve">12:44</w:t>
            </w:r>
          </w:p>
        </w:tc>
        <w:tc>
          <w:tcPr/>
          <w:p>
            <w:pPr>
              <w:pStyle w:val="Compact"/>
            </w:pPr>
            <w:r>
              <w:rPr>
                <w:b/>
                <w:bCs/>
              </w:rPr>
              <w:t xml:space="preserve">13:14</w:t>
            </w:r>
          </w:p>
        </w:tc>
      </w:tr>
    </w:tbl>
    <w:p>
      <w:pPr>
        <w:pStyle w:val="Textoindependiente"/>
      </w:pPr>
      <w:r>
        <w:t xml:space="preserve">Estimació anterior de treball: 18:15-19:00. Temps eliminat del cos principal: una diapositiva prevista d’1:25. La separació de la síntesi tècnica i l’agraïment en dues diapositives afegeix aproximadament 0:20-0:30 (canvi de diapositiva i pausa protocol·lària), sense contingut tècnic nou. La nova explicació causal de la diapositiva 6 afegeix aproximadament 0:45 respecte de la versió anterior. Nova estimació prudent amb pauses reals: 17:05-18:30. Marge respecte dels 20 minuts: aproximadament 1:30-2:55, pendent de validació amb assaig oral real.</w:t>
      </w:r>
    </w:p>
    <w:p>
      <w:r>
        <w:pict>
          <v:rect style="width:0;height:1.5pt" o:hralign="center" o:hrstd="t" o:hr="t"/>
        </w:pict>
      </w:r>
    </w:p>
    <w:bookmarkEnd w:id="37"/>
    <w:bookmarkStart w:id="42" w:name="pla-dentrenament-comunicatiu"/>
    <w:p>
      <w:pPr>
        <w:pStyle w:val="Ttulo2"/>
      </w:pPr>
      <w:r>
        <w:t xml:space="preserve">5. Pla d’entrenament comunicatiu</w:t>
      </w:r>
    </w:p>
    <w:bookmarkStart w:id="38" w:name="entrenament-inicial"/>
    <w:p>
      <w:pPr>
        <w:pStyle w:val="Ttulo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Textoindependiente"/>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Textoindependiente"/>
      </w:pPr>
      <w:r>
        <w:t xml:space="preserve">La demo opcional s’ha d’assajar per separat. No s’ha d’incloure en el cronòmetre principal.</w:t>
      </w:r>
    </w:p>
    <w:bookmarkEnd w:id="38"/>
    <w:bookmarkStart w:id="39" w:name="entrenament-intermedi"/>
    <w:p>
      <w:pPr>
        <w:pStyle w:val="Ttulo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conclusió tècnica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9"/>
    <w:bookmarkStart w:id="40" w:name="assaig-final"/>
    <w:p>
      <w:pPr>
        <w:pStyle w:val="Ttulo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6-9,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Textoindependiente"/>
      </w:pPr>
      <w:r>
        <w:t xml:space="preserve">Després grava una passada independent de l’annex opcional. La demo ha de poder explicar-se sense reobrir tota la classe. Ha de sonar com una verificació pràctica del que ja s’ha explicat, no com una secció nova.</w:t>
      </w:r>
    </w:p>
    <w:bookmarkEnd w:id="40"/>
    <w:bookmarkStart w:id="41" w:name="ritme-veu-i-cos"/>
    <w:p>
      <w:pPr>
        <w:pStyle w:val="Ttulo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Textoindependiente"/>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v:rect style="width:0;height:1.5pt" o:hralign="center" o:hrstd="t" o:hr="t"/>
        </w:pict>
      </w:r>
    </w:p>
    <w:bookmarkEnd w:id="41"/>
    <w:bookmarkEnd w:id="42"/>
    <w:bookmarkStart w:id="43" w:name="advertiments-finals"/>
    <w:p>
      <w:pPr>
        <w:pStyle w:val="Ttulo2"/>
      </w:pPr>
      <w:r>
        <w:t xml:space="preserve">6. Advertiments finals</w:t>
      </w:r>
    </w:p>
    <w:p>
      <w:pPr>
        <w:pStyle w:val="FirstParagraph"/>
      </w:pPr>
      <w:r>
        <w:t xml:space="preserve">Risc de temps: les diapositives 4-9 poden allargar-se fàcilment. Si vas tard, no retallis la conclusió tècnica; retalla detall del cas AGAUR o de la transferència al domini financer.</w:t>
      </w:r>
    </w:p>
    <w:p>
      <w:pPr>
        <w:pStyle w:val="Textoindependiente"/>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Textoindependiente"/>
      </w:pPr>
      <w:r>
        <w:t xml:space="preserve">Risc conceptual: no diguis que PICA és el problema. Formula-ho sempre així: el problema és que el cas d’ús depengui directament dels detalls tècnics de la integració.</w:t>
      </w:r>
    </w:p>
    <w:p>
      <w:pPr>
        <w:pStyle w:val="Textoindependiente"/>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Textoindependiente"/>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Textoindependiente"/>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Textoindependiente"/>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Textoindependiente"/>
      </w:pPr>
      <w:r>
        <w:t xml:space="preserve">Risc de confidencialitat: no mencionar endpoints, credencials, captures internes ni detalls operatius d’AGAUR. L’informe acredita l’activitat; la classe només usa el cas com a abstracció docent.</w:t>
      </w:r>
    </w:p>
    <w:bookmarkEnd w:id="43"/>
    <w:bookmarkEnd w:id="44"/>
    <w:sectPr w:rsidR="00F65441" w:rsidRPr="00455954">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ns2:restartNumberingAfterBreak="0" w:abstractNumId="0">
    <w:nsid w:val="0000A990"/>
    <w:multiLevelType w:val="multilevel"/>
    <w:tmpl w:val="CA3615E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ns2:restartNumberingAfterBreak="0" w:abstractNumId="1">
    <w:nsid w:val="0000A991"/>
    <w:multiLevelType w:val="multilevel"/>
    <w:tmpl w:val="F12E014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ns3:durableId="144666998" w:numId="1">
    <w:abstractNumId w:val="0"/>
  </w:num>
  <w:num ns3:durableId="1410419399" w:numId="2">
    <w:abstractNumId w:val="1"/>
  </w:num>
  <w:num ns3:durableId="466897372" w:numId="3">
    <w:abstractNumId w:val="1"/>
  </w:num>
  <w:num ns3:durableId="1619142029" w:numId="4">
    <w:abstractNumId w:val="1"/>
  </w:num>
  <w:num ns3:durableId="988754143" w:numId="5">
    <w:abstractNumId w:val="1"/>
  </w:num>
  <w:num ns3:durableId="1848209600" w:numId="6">
    <w:abstractNumId w:val="1"/>
  </w:num>
  <w:num ns3:durableId="1766072532" w:numId="7">
    <w:abstractNumId w:val="1"/>
  </w:num>
  <w:num ns3:durableId="1921862898" w:numId="8">
    <w:abstractNumId w:val="1"/>
  </w:num>
  <w:num ns3:durableId="1438065664" w:numId="9">
    <w:abstractNumId w:val="1"/>
  </w:num>
  <w:num ns3:durableId="323168462" w:numId="10">
    <w:abstractNumId w:val="1"/>
  </w:num>
  <w:num ns3:durableId="1204441828" w:numId="11">
    <w:abstractNumId w:val="1"/>
  </w:num>
  <w:num ns3:durableId="941954038" w:numId="12">
    <w:abstractNumId w:val="1"/>
  </w:num>
  <w:num ns3:durableId="1411657343" w:numId="13">
    <w:abstractNumId w:val="1"/>
  </w:num>
  <w:num ns3:durableId="1168640367" w:numId="14">
    <w:abstractNumId w:val="1"/>
  </w:num>
  <w:num ns3:durableId="2045523877" w:numId="15">
    <w:abstractNumId w:val="1"/>
  </w:num>
  <w:num ns3:durableId="672026053" w:numId="16">
    <w:abstractNumId w:val="1"/>
  </w:num>
  <w:num ns3:durableId="1328555788" w:numId="17">
    <w:abstractNumId w:val="1"/>
  </w:num>
  <w:num ns3:durableId="1339043308" w:numId="18">
    <w:abstractNumId w:val="1"/>
  </w:num>
  <w:num ns3:durableId="940065575" w:numId="19">
    <w:abstractNumId w:val="0"/>
  </w:num>
  <w:num ns3:durableId="179127088" w:numId="20">
    <w:abstractNumId w:val="1"/>
  </w:num>
  <w:num ns3:durableId="765348858" w:numId="21">
    <w:abstractNumId w:val="1"/>
  </w:num>
  <w:num ns3:durableId="522784037" w:numId="22">
    <w:abstractNumId w:val="1"/>
  </w:num>
  <w:num ns3:durableId="420951279" w:numId="23">
    <w:abstractNumId w:val="1"/>
  </w:num>
  <w:num ns3:durableId="1111169217" w:numId="24">
    <w:abstractNumId w:val="1"/>
  </w:num>
  <w:num ns3:durableId="250706255" w:numId="25">
    <w:abstractNumId w:val="1"/>
  </w:num>
  <w:num ns3:durableId="1093821049" w:numId="26">
    <w:abstractNumId w:val="1"/>
  </w:num>
  <w:num ns3:durableId="1723601968" w:numId="27">
    <w:abstractNumId w:val="1"/>
  </w:num>
  <w:num ns3:durableId="211425153" w:numId="28">
    <w:abstractNumId w:val="1"/>
  </w:num>
  <w:num ns3:durableId="510796475" w:numId="29">
    <w:abstractNumId w:val="1"/>
  </w:num>
  <w:num ns3:durableId="269972921" w:numId="30">
    <w:abstractNumId w:val="1"/>
  </w:num>
  <w:num ns3:durableId="2025936008" w:numId="31">
    <w:abstractNumId w:val="1"/>
  </w:num>
  <w:num ns3:durableId="493498129" w:numId="32">
    <w:abstractNumId w:val="1"/>
  </w:num>
  <w:num ns3:durableId="1781146685" w:numId="33">
    <w:abstractNumId w:val="1"/>
  </w:num>
  <w:num ns3:durableId="1685129439" w:numId="34">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430"/>
    <w:rsid w:val="00010BE1"/>
    <w:rsid w:val="003F0DD1"/>
    <w:rsid w:val="00455954"/>
    <w:rsid w:val="00D0600D"/>
    <w:rsid w:val="00ED6430"/>
    <w:rsid w:val="00F6544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EastAsia" w:hAnsiTheme="minorHAnsi"/>
        <w:sz w:val="36"/>
        <w:szCs w:val="36"/>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6"/>
      <w:szCs w:val="36"/>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36"/>
      <w:szCs w:val="36"/>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36"/>
      <w:szCs w:val="36"/>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36"/>
      <w:szCs w:val="36"/>
    </w:rPr>
  </w:style>
  <w:style w:customStyle="1" w:styleId="Author" w:type="paragraph">
    <w:name w:val="Author"/>
    <w:basedOn w:val="Ttulo"/>
    <w:next w:val="Textoindependiente"/>
    <w:qFormat/>
    <w:pPr>
      <w:keepNext/>
      <w:keepLines/>
    </w:pPr>
    <w:rPr>
      <w:sz w:val="36"/>
      <w:szCs w:val="36"/>
    </w:rPr>
  </w:style>
  <w:style w:styleId="Fecha" w:type="paragraph">
    <w:name w:val="Date"/>
    <w:basedOn w:val="Ttulo"/>
    <w:next w:val="Textoindependiente"/>
    <w:qFormat/>
    <w:pPr>
      <w:keepNext/>
      <w:keepLines/>
    </w:pPr>
    <w:rPr>
      <w:sz w:val="36"/>
      <w:szCs w:val="36"/>
    </w:rPr>
  </w:style>
  <w:style w:customStyle="1" w:styleId="AbstractTitle" w:type="paragraph">
    <w:name w:val="Abstract Title"/>
    <w:basedOn w:val="Normal"/>
    <w:next w:val="Abstract"/>
    <w:qFormat/>
    <w:pPr>
      <w:keepNext/>
      <w:keepLines/>
      <w:spacing w:after="0" w:before="300"/>
      <w:jc w:val="center"/>
    </w:pPr>
    <w:rPr>
      <w:b/>
      <w:sz w:val="36"/>
      <w:szCs w:val="36"/>
    </w:rPr>
  </w:style>
  <w:style w:customStyle="1" w:styleId="Abstract" w:type="paragraph">
    <w:name w:val="Abstract"/>
    <w:basedOn w:val="Normal"/>
    <w:next w:val="Textoindependiente"/>
    <w:qFormat/>
    <w:pPr>
      <w:keepNext/>
      <w:keepLines/>
      <w:spacing w:after="300" w:before="100"/>
    </w:pPr>
    <w:rPr>
      <w:sz w:val="36"/>
      <w:szCs w:val="36"/>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6"/>
      <w:szCs w:val="36"/>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36"/>
      <w:szCs w:val="36"/>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36"/>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36"/>
    </w:rPr>
  </w:style>
  <w:style w:customStyle="1" w:styleId="DataTypeTok" w:type="character">
    <w:name w:val="DataTypeTok"/>
    <w:basedOn w:val="VerbatimChar"/>
    <w:rPr>
      <w:rFonts w:ascii="Consolas" w:hAnsi="Consolas"/>
      <w:color w:val="902000"/>
      <w:sz w:val="36"/>
    </w:rPr>
  </w:style>
  <w:style w:customStyle="1" w:styleId="DecValTok" w:type="character">
    <w:name w:val="DecValTok"/>
    <w:basedOn w:val="VerbatimChar"/>
    <w:rPr>
      <w:rFonts w:ascii="Consolas" w:hAnsi="Consolas"/>
      <w:color w:val="40A070"/>
      <w:sz w:val="36"/>
    </w:rPr>
  </w:style>
  <w:style w:customStyle="1" w:styleId="BaseNTok" w:type="character">
    <w:name w:val="BaseNTok"/>
    <w:basedOn w:val="VerbatimChar"/>
    <w:rPr>
      <w:rFonts w:ascii="Consolas" w:hAnsi="Consolas"/>
      <w:color w:val="40A070"/>
      <w:sz w:val="36"/>
    </w:rPr>
  </w:style>
  <w:style w:customStyle="1" w:styleId="FloatTok" w:type="character">
    <w:name w:val="FloatTok"/>
    <w:basedOn w:val="VerbatimChar"/>
    <w:rPr>
      <w:rFonts w:ascii="Consolas" w:hAnsi="Consolas"/>
      <w:color w:val="40A070"/>
      <w:sz w:val="36"/>
    </w:rPr>
  </w:style>
  <w:style w:customStyle="1" w:styleId="ConstantTok" w:type="character">
    <w:name w:val="ConstantTok"/>
    <w:basedOn w:val="VerbatimChar"/>
    <w:rPr>
      <w:rFonts w:ascii="Consolas" w:hAnsi="Consolas"/>
      <w:color w:val="880000"/>
      <w:sz w:val="36"/>
    </w:rPr>
  </w:style>
  <w:style w:customStyle="1" w:styleId="CharTok" w:type="character">
    <w:name w:val="CharTok"/>
    <w:basedOn w:val="VerbatimChar"/>
    <w:rPr>
      <w:rFonts w:ascii="Consolas" w:hAnsi="Consolas"/>
      <w:color w:val="4070A0"/>
      <w:sz w:val="36"/>
    </w:rPr>
  </w:style>
  <w:style w:customStyle="1" w:styleId="SpecialCharTok" w:type="character">
    <w:name w:val="SpecialCharTok"/>
    <w:basedOn w:val="VerbatimChar"/>
    <w:rPr>
      <w:rFonts w:ascii="Consolas" w:hAnsi="Consolas"/>
      <w:color w:val="4070A0"/>
      <w:sz w:val="36"/>
    </w:rPr>
  </w:style>
  <w:style w:customStyle="1" w:styleId="StringTok" w:type="character">
    <w:name w:val="StringTok"/>
    <w:basedOn w:val="VerbatimChar"/>
    <w:rPr>
      <w:rFonts w:ascii="Consolas" w:hAnsi="Consolas"/>
      <w:color w:val="4070A0"/>
      <w:sz w:val="36"/>
    </w:rPr>
  </w:style>
  <w:style w:customStyle="1" w:styleId="VerbatimStringTok" w:type="character">
    <w:name w:val="VerbatimStringTok"/>
    <w:basedOn w:val="VerbatimChar"/>
    <w:rPr>
      <w:rFonts w:ascii="Consolas" w:hAnsi="Consolas"/>
      <w:color w:val="4070A0"/>
      <w:sz w:val="36"/>
    </w:rPr>
  </w:style>
  <w:style w:customStyle="1" w:styleId="SpecialStringTok" w:type="character">
    <w:name w:val="SpecialStringTok"/>
    <w:basedOn w:val="VerbatimChar"/>
    <w:rPr>
      <w:rFonts w:ascii="Consolas" w:hAnsi="Consolas"/>
      <w:color w:val="BB6688"/>
      <w:sz w:val="36"/>
    </w:rPr>
  </w:style>
  <w:style w:customStyle="1" w:styleId="ImportTok" w:type="character">
    <w:name w:val="ImportTok"/>
    <w:basedOn w:val="VerbatimChar"/>
    <w:rPr>
      <w:rFonts w:ascii="Consolas" w:hAnsi="Consolas"/>
      <w:b/>
      <w:color w:val="008000"/>
      <w:sz w:val="36"/>
    </w:rPr>
  </w:style>
  <w:style w:customStyle="1" w:styleId="CommentTok" w:type="character">
    <w:name w:val="CommentTok"/>
    <w:basedOn w:val="VerbatimChar"/>
    <w:rPr>
      <w:rFonts w:ascii="Consolas" w:hAnsi="Consolas"/>
      <w:i/>
      <w:color w:val="60A0B0"/>
      <w:sz w:val="36"/>
    </w:rPr>
  </w:style>
  <w:style w:customStyle="1" w:styleId="DocumentationTok" w:type="character">
    <w:name w:val="DocumentationTok"/>
    <w:basedOn w:val="VerbatimChar"/>
    <w:rPr>
      <w:rFonts w:ascii="Consolas" w:hAnsi="Consolas"/>
      <w:i/>
      <w:color w:val="BA2121"/>
      <w:sz w:val="36"/>
    </w:rPr>
  </w:style>
  <w:style w:customStyle="1" w:styleId="AnnotationTok" w:type="character">
    <w:name w:val="AnnotationTok"/>
    <w:basedOn w:val="VerbatimChar"/>
    <w:rPr>
      <w:rFonts w:ascii="Consolas" w:hAnsi="Consolas"/>
      <w:b/>
      <w:i/>
      <w:color w:val="60A0B0"/>
      <w:sz w:val="36"/>
    </w:rPr>
  </w:style>
  <w:style w:customStyle="1" w:styleId="CommentVarTok" w:type="character">
    <w:name w:val="CommentVarTok"/>
    <w:basedOn w:val="VerbatimChar"/>
    <w:rPr>
      <w:rFonts w:ascii="Consolas" w:hAnsi="Consolas"/>
      <w:b/>
      <w:i/>
      <w:color w:val="60A0B0"/>
      <w:sz w:val="36"/>
    </w:rPr>
  </w:style>
  <w:style w:customStyle="1" w:styleId="OtherTok" w:type="character">
    <w:name w:val="OtherTok"/>
    <w:basedOn w:val="VerbatimChar"/>
    <w:rPr>
      <w:rFonts w:ascii="Consolas" w:hAnsi="Consolas"/>
      <w:color w:val="007020"/>
      <w:sz w:val="36"/>
    </w:rPr>
  </w:style>
  <w:style w:customStyle="1" w:styleId="FunctionTok" w:type="character">
    <w:name w:val="FunctionTok"/>
    <w:basedOn w:val="VerbatimChar"/>
    <w:rPr>
      <w:rFonts w:ascii="Consolas" w:hAnsi="Consolas"/>
      <w:color w:val="06287E"/>
      <w:sz w:val="36"/>
    </w:rPr>
  </w:style>
  <w:style w:customStyle="1" w:styleId="VariableTok" w:type="character">
    <w:name w:val="VariableTok"/>
    <w:basedOn w:val="VerbatimChar"/>
    <w:rPr>
      <w:rFonts w:ascii="Consolas" w:hAnsi="Consolas"/>
      <w:color w:val="19177C"/>
      <w:sz w:val="36"/>
    </w:rPr>
  </w:style>
  <w:style w:customStyle="1" w:styleId="ControlFlowTok" w:type="character">
    <w:name w:val="ControlFlowTok"/>
    <w:basedOn w:val="VerbatimChar"/>
    <w:rPr>
      <w:rFonts w:ascii="Consolas" w:hAnsi="Consolas"/>
      <w:b/>
      <w:color w:val="007020"/>
      <w:sz w:val="36"/>
    </w:rPr>
  </w:style>
  <w:style w:customStyle="1" w:styleId="OperatorTok" w:type="character">
    <w:name w:val="OperatorTok"/>
    <w:basedOn w:val="VerbatimChar"/>
    <w:rPr>
      <w:rFonts w:ascii="Consolas" w:hAnsi="Consolas"/>
      <w:color w:val="666666"/>
      <w:sz w:val="36"/>
    </w:rPr>
  </w:style>
  <w:style w:customStyle="1" w:styleId="BuiltInTok" w:type="character">
    <w:name w:val="BuiltInTok"/>
    <w:basedOn w:val="VerbatimChar"/>
    <w:rPr>
      <w:rFonts w:ascii="Consolas" w:hAnsi="Consolas"/>
      <w:color w:val="008000"/>
      <w:sz w:val="36"/>
    </w:rPr>
  </w:style>
  <w:style w:customStyle="1" w:styleId="ExtensionTok" w:type="character">
    <w:name w:val="ExtensionTok"/>
    <w:basedOn w:val="VerbatimChar"/>
    <w:rPr>
      <w:rFonts w:ascii="Consolas" w:hAnsi="Consolas"/>
      <w:sz w:val="36"/>
    </w:rPr>
  </w:style>
  <w:style w:customStyle="1" w:styleId="PreprocessorTok" w:type="character">
    <w:name w:val="PreprocessorTok"/>
    <w:basedOn w:val="VerbatimChar"/>
    <w:rPr>
      <w:rFonts w:ascii="Consolas" w:hAnsi="Consolas"/>
      <w:color w:val="BC7A00"/>
      <w:sz w:val="36"/>
    </w:rPr>
  </w:style>
  <w:style w:customStyle="1" w:styleId="AttributeTok" w:type="character">
    <w:name w:val="AttributeTok"/>
    <w:basedOn w:val="VerbatimChar"/>
    <w:rPr>
      <w:rFonts w:ascii="Consolas" w:hAnsi="Consolas"/>
      <w:color w:val="7D9029"/>
      <w:sz w:val="36"/>
    </w:rPr>
  </w:style>
  <w:style w:customStyle="1" w:styleId="RegionMarkerTok" w:type="character">
    <w:name w:val="RegionMarkerTok"/>
    <w:basedOn w:val="VerbatimChar"/>
    <w:rPr>
      <w:rFonts w:ascii="Consolas" w:hAnsi="Consolas"/>
      <w:sz w:val="36"/>
    </w:rPr>
  </w:style>
  <w:style w:customStyle="1" w:styleId="InformationTok" w:type="character">
    <w:name w:val="InformationTok"/>
    <w:basedOn w:val="VerbatimChar"/>
    <w:rPr>
      <w:rFonts w:ascii="Consolas" w:hAnsi="Consolas"/>
      <w:b/>
      <w:i/>
      <w:color w:val="60A0B0"/>
      <w:sz w:val="36"/>
    </w:rPr>
  </w:style>
  <w:style w:customStyle="1" w:styleId="WarningTok" w:type="character">
    <w:name w:val="WarningTok"/>
    <w:basedOn w:val="VerbatimChar"/>
    <w:rPr>
      <w:rFonts w:ascii="Consolas" w:hAnsi="Consolas"/>
      <w:b/>
      <w:i/>
      <w:color w:val="60A0B0"/>
      <w:sz w:val="36"/>
    </w:rPr>
  </w:style>
  <w:style w:customStyle="1" w:styleId="AlertTok" w:type="character">
    <w:name w:val="AlertTok"/>
    <w:basedOn w:val="VerbatimChar"/>
    <w:rPr>
      <w:rFonts w:ascii="Consolas" w:hAnsi="Consolas"/>
      <w:b/>
      <w:color w:val="FF0000"/>
      <w:sz w:val="36"/>
    </w:rPr>
  </w:style>
  <w:style w:customStyle="1" w:styleId="ErrorTok" w:type="character">
    <w:name w:val="ErrorTok"/>
    <w:basedOn w:val="VerbatimChar"/>
    <w:rPr>
      <w:rFonts w:ascii="Consolas" w:hAnsi="Consolas"/>
      <w:b/>
      <w:color w:val="FF0000"/>
      <w:sz w:val="36"/>
    </w:rPr>
  </w:style>
  <w:style w:customStyle="1" w:styleId="NormalTok" w:type="character">
    <w:name w:val="NormalTok"/>
    <w:basedOn w:val="VerbatimChar"/>
    <w:rPr>
      <w:rFonts w:ascii="Consolas" w:hAnsi="Consolas"/>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3625</Words>
  <Characters>19942</Characters>
  <Application>Microsoft Office Word</Application>
  <DocSecurity>0</DocSecurity>
  <Lines>166</Lines>
  <Paragraphs>47</Paragraphs>
  <ScaleCrop>false</ScaleCrop>
  <Company/>
  <LinksUpToDate>false</LinksUpToDate>
  <CharactersWithSpaces>23520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2026-07-16T18:02:59Z</dcterms:created>
  <dcterms:modified xsi:type="dcterms:W3CDTF">2026-07-16T18:02:59Z</dcterms:modified>
</cp:coreProperties>
</file>

<file path=docProps/custom.xml><?xml version="1.0" encoding="utf-8"?>
<Properties xmlns="http://schemas.openxmlformats.org/officeDocument/2006/custom-properties" xmlns:vt="http://schemas.openxmlformats.org/officeDocument/2006/docPropsVTypes"/>
</file>