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explicaré el fil conductor d’una trajectòria iniciada el 2004: la indústria del software, la docència universitària i la recerca, tres eixos que convergeixen al TecnoCampus com a projecte docent i acadèmic. [pausa breu]</w:t>
      </w:r>
    </w:p>
    <w:p>
      <w:pPr>
        <w:pStyle w:val="BodyText"/>
      </w:pPr>
      <w:r>
        <w:t xml:space="preserve">La meva trajectòria neix en la indústria del software, s’amplia cap a la docència universitària en software i troba al TecnoCampus un espai coherent per consolidar un projecte acadèmic.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Heading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BodyText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2026-07-12T16:57:45Z</dcterms:created>
  <dcterms:modified xsi:type="dcterms:W3CDTF">2026-07-12T16:57:45Z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