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bookmarkStart w:id="38"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bookmarkStart w:id="21" w:name="guió-oral-complet-imprimible"/>
    <w:p>
      <w:pPr>
        <w:pStyle w:val="Ttulo2"/>
      </w:pPr>
      <w:r>
        <w:t xml:space="preserve">1. Guió oral complet imprimible</w:t>
      </w:r>
    </w:p>
    <w:p>
      <w:pPr>
        <w:pStyle w:val="FirstParagraph"/>
      </w:pPr>
      <w:r>
        <w:t xml:space="preserve">Temps total previst: 20:00.</w:t>
      </w:r>
    </w:p>
    <w:bookmarkStart w:id="9" w:name="diapositiva-1.-portada---145"/>
    <w:p>
      <w:pPr>
        <w:pStyle w:val="Ttulo3"/>
      </w:pPr>
      <w:r>
        <w:t xml:space="preserve">Diapositiva 1. Portada - 1:45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semblava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d8d813bdf1f660b3e63d6e4e001ea5920e5fb0"/>
    <w:p>
      <w:pPr>
        <w:pStyle w:val="Ttulo3"/>
      </w:pPr>
      <w:r>
        <w:t xml:space="preserve">Diapositiva 2. On som dins l’assignatura - 1:10</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explica que s’hi treballa una visió global d’arquitectures de sistemes d’informació: arquitectures per capes, arquitectures hexagonals, basades en microserveis. Dins el bloc d’arquitectures hexagonals hi apareixen explícitament ports i adaptadors. [to calmat, explicatiu]</w:t>
      </w:r>
    </w:p>
    <w:p>
      <w:pPr>
        <w:pStyle w:val="Textoindependiente"/>
      </w:pPr>
      <w:r>
        <w:t xml:space="preserve">Per tant, aquesta no és una sessió afegida artificialment al temari. És una classe versemblant dins l’assignatura. [pausa breu]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[mirar el tribunal]</w:t>
      </w:r>
    </w:p>
    <w:p>
      <w:pPr>
        <w:pStyle w:val="Textoindependiente"/>
      </w:pPr>
      <w:r>
        <w:t xml:space="preserve">Per tant, el que aprendrem és a fer tres operacions: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e44e148b7ebe898f3299718f45351b6467fee24"/>
    <w:p>
      <w:pPr>
        <w:pStyle w:val="Ttulo3"/>
      </w:pPr>
      <w:r>
        <w:t xml:space="preserve">Diapositiva 4. Avaluació econòmica d’una beca - 1:50</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49d8499aef8096cf0d8707c0a2b10b4e00df2f8"/>
    <w:p>
      <w:pPr>
        <w:pStyle w:val="Ttulo3"/>
      </w:pPr>
      <w:r>
        <w:t xml:space="preserve">Diapositiva 5. Quina informació externa necessita el procediment? - 2:00</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 certificat, d’una base de dades corporativa o d’un altre mecanisme futur.</w:t>
      </w:r>
    </w:p>
    <w:p>
      <w:pPr>
        <w:pStyle w:val="Textoindependiente"/>
      </w:pPr>
      <w:r>
        <w:t xml:space="preserve">Quan aquesta separació no es respecta, apareix el problema arquitectònic que veurem ara.</w:t>
      </w:r>
    </w:p>
    <w:bookmarkEnd w:id="13"/>
    <w:bookmarkStart w:id="14" w:name="X84147f10029592ec3bd146ffb3a5109a19eca0d"/>
    <w:p>
      <w:pPr>
        <w:pStyle w:val="Ttulo3"/>
      </w:pPr>
      <w:r>
        <w:t xml:space="preserve">Diapositiva 6. Dependència directa entre procediment i integració - 2:10</w:t>
      </w:r>
    </w:p>
    <w:p>
      <w:pPr>
        <w:pStyle w:val="FirstParagraph"/>
      </w:pPr>
      <w:r>
        <w:t xml:space="preserve">Imaginem una situació en què el cas d’ús queda vinculat directament a la cadena tècnica: SOAP/XML, PICA, AEAT o Cadastre.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DTOs externs,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1b46c11a0007e42ff86c8d65e9cc641b28b5559"/>
    <w:p>
      <w:pPr>
        <w:pStyle w:val="Ttulo3"/>
      </w:pPr>
      <w:r>
        <w:t xml:space="preserve">Diapositiva 7. Port de sortida i adaptador - 0:55</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 [assenyalar la primera línia]</w:t>
      </w:r>
    </w:p>
    <w:p>
      <w:pPr>
        <w:pStyle w:val="Textoindependiente"/>
      </w:pPr>
      <w:r>
        <w:t xml:space="preserve">Una altra cosa és la dependència de codi: el cas d’ús depèn del port, i l’adaptador implementa aquest port. [assenyalar la segona línia]</w:t>
      </w:r>
    </w:p>
    <w:p>
      <w:pPr>
        <w:pStyle w:val="Textoindependiente"/>
      </w:pPr>
      <w:r>
        <w:t xml:space="preserve">Aquesta és la inversió de dependències: la infraestructura depèn del port definit per l’aplicació, no a l’inrevés. [mirada al tribunal]</w:t>
      </w:r>
    </w:p>
    <w:p>
      <w:pPr>
        <w:pStyle w:val="Textoindependiente"/>
      </w:pPr>
      <w:r>
        <w:t xml:space="preserve">Amb aquesta idea clara, ara podem portar el patró al cas administratiu.</w:t>
      </w:r>
    </w:p>
    <w:bookmarkEnd w:id="15"/>
    <w:bookmarkStart w:id="16" w:name="X25282647dc1f1bc8d2bf508fc797cb7f01a992d"/>
    <w:p>
      <w:pPr>
        <w:pStyle w:val="Ttulo3"/>
      </w:pPr>
      <w:r>
        <w:t xml:space="preserve">Diapositiva 8. Port de sortida per a informació patrimonial - 2:05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 un domini diferent: una aplicació de gestió d’una cartera d’inversió personal.</w:t>
      </w:r>
    </w:p>
    <w:bookmarkEnd w:id="16"/>
    <w:bookmarkStart w:id="17" w:name="X619a10340c1a251e91abc9532d1ef3ec34eca8e"/>
    <w:p>
      <w:pPr>
        <w:pStyle w:val="Ttulo3"/>
      </w:pPr>
      <w:r>
        <w:t xml:space="preserve">Diapositiva 9. Transferència a domini financer - 1:45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El diagrama que veiem ja correspon al projecte que utilitzaré després a la demo. Ara, però, no em centraré en els noms concrets; el que m’interessa és reconèixer el mateix patró: cas d’ús, port de sortida i adaptadors substituïbles.</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f23ce5279610c607185e420fa6986d11a2001c6"/>
    <w:p>
      <w:pPr>
        <w:pStyle w:val="Ttulo3"/>
      </w:pPr>
      <w:r>
        <w:t xml:space="preserve">Diapositiva 10. Flux i codi essencial - 1:45</w:t>
      </w:r>
    </w:p>
    <w:p>
      <w:pPr>
        <w:pStyle w:val="FirstParagraph"/>
      </w:pPr>
      <w:r>
        <w:t xml:space="preserve">A partir d’aquí ja podem baixar al projecte concret de la demo: HexaStock. Aquesta diapositiva mostra el flux temporal del cas d’ús de venda. [assenyalar el diagrama de seqüència]</w:t>
      </w:r>
    </w:p>
    <w:p>
      <w:pPr>
        <w:pStyle w:val="Textoindependiente"/>
      </w:pPr>
      <w:r>
        <w:t xml:space="preserve">Convé aclarir que, en un diagrama de seqüència, les fletxes representen ordre d’execució, no dependències de codi. Això és perfectament compatible amb la inversió de dependències que acabem d’explicar.</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bookmarkEnd w:id="18"/>
    <w:bookmarkStart w:id="19" w:name="diapositiva-11.-demo---145"/>
    <w:p>
      <w:pPr>
        <w:pStyle w:val="Ttulo3"/>
      </w:pPr>
      <w:r>
        <w:t xml:space="preserve">Diapositiva 11. Demo - 1:45</w:t>
      </w:r>
    </w:p>
    <w:p>
      <w:pPr>
        <w:pStyle w:val="FirstParagraph"/>
      </w:pPr>
      <w:r>
        <w:t xml:space="preserve">La demo, en aquesta classe, no pretén impressionar per complexitat tècnica. Té una funció docent molt concreta: mostrar que podem mantenir el mateix cas d’ús, el mateix servei d’aplicació i el mateix domini, canviant només l’adaptador. [assenyalar les tres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bookmarkEnd w:id="19"/>
    <w:bookmarkStart w:id="20" w:name="diapositiva-12.-agraïment---120"/>
    <w:p>
      <w:pPr>
        <w:pStyle w:val="Ttulo3"/>
      </w:pPr>
      <w:r>
        <w:t xml:space="preserve">Diapositiva 12. Agraïment - 1:20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t xml:space="preserve">Quan canvia un proveïdor, una API o una tecnologia, volem canviar l’adaptador. No volem reescriure el cas d’ús ni deformar el model de domini. [pausa]</w:t>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t xml:space="preserve">Moltes gràcies.</w:t>
      </w:r>
    </w:p>
    <w:bookmarkEnd w:id="20"/>
    <w:bookmarkEnd w:id="21"/>
    <w:bookmarkStart w:id="34" w:name="notes-del-presentador-per-diapositiva"/>
    <w:p>
      <w:pPr>
        <w:pStyle w:val="Ttulo2"/>
      </w:pPr>
      <w:r>
        <w:t xml:space="preserve">2. Notes del presentador per diapositiva</w:t>
      </w:r>
    </w:p>
    <w:bookmarkStart w:id="22" w:name="portada---145"/>
    <w:p>
      <w:pPr>
        <w:pStyle w:val="Ttulo3"/>
      </w:pPr>
      <w:r>
        <w:t xml:space="preserve">1. Portada - 1:45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2"/>
    <w:bookmarkStart w:id="23" w:name="on-som-dins-lassignatura---110"/>
    <w:p>
      <w:pPr>
        <w:pStyle w:val="Ttulo3"/>
      </w:pPr>
      <w:r>
        <w:t xml:space="preserve">2. On som dins l’assignatura - 1:10</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3"/>
    <w:bookmarkStart w:id="24"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4"/>
    <w:bookmarkStart w:id="25" w:name="avaluació-econòmica---150"/>
    <w:p>
      <w:pPr>
        <w:pStyle w:val="Ttulo3"/>
      </w:pPr>
      <w:r>
        <w:t xml:space="preserve">4. Avaluació econòmica - 1:50</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5"/>
    <w:bookmarkStart w:id="26" w:name="informació-externa---200"/>
    <w:p>
      <w:pPr>
        <w:pStyle w:val="Ttulo3"/>
      </w:pPr>
      <w:r>
        <w:t xml:space="preserve">5. Informació externa - 2:00</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6"/>
    <w:bookmarkStart w:id="27" w:name="dependència-directa---210"/>
    <w:p>
      <w:pPr>
        <w:pStyle w:val="Ttulo3"/>
      </w:pPr>
      <w:r>
        <w:t xml:space="preserve">6. Dependència directa - 2:10</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7"/>
    <w:bookmarkStart w:id="28" w:name="port-i-adaptador---055"/>
    <w:p>
      <w:pPr>
        <w:pStyle w:val="Ttulo3"/>
      </w:pPr>
      <w:r>
        <w:t xml:space="preserve">7. Port i adaptador - 0:55</w:t>
      </w:r>
    </w:p>
    <w:p>
      <w:pPr>
        <w:pStyle w:val="Compact"/>
        <w:numPr>
          <w:ilvl w:val="0"/>
          <w:numId w:val="1008"/>
        </w:numPr>
      </w:pPr>
      <w:r>
        <w:t xml:space="preserve">Fer-la servir com a frontissa conceptual, no com a explicació llarga.</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8"/>
    <w:bookmarkStart w:id="29" w:name="port-patrimonial---205"/>
    <w:p>
      <w:pPr>
        <w:pStyle w:val="Ttulo3"/>
      </w:pPr>
      <w:r>
        <w:t xml:space="preserve">8. Port patrimonial - 2:05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29"/>
    <w:bookmarkStart w:id="30" w:name="domini-financer---145"/>
    <w:p>
      <w:pPr>
        <w:pStyle w:val="Ttulo3"/>
      </w:pPr>
      <w:r>
        <w:t xml:space="preserve">9. Domini financer - 1:45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ja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ara sí, concretar-ho en HexaStock.</w:t>
      </w:r>
    </w:p>
    <w:bookmarkEnd w:id="30"/>
    <w:bookmarkStart w:id="31" w:name="flux-i-codi---145"/>
    <w:p>
      <w:pPr>
        <w:pStyle w:val="Ttulo3"/>
      </w:pPr>
      <w:r>
        <w:t xml:space="preserve">10. Flux i codi - 1:45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Transició: demo controlada amb adaptador substituïble.</w:t>
      </w:r>
    </w:p>
    <w:bookmarkEnd w:id="31"/>
    <w:bookmarkStart w:id="32" w:name="demo---145"/>
    <w:p>
      <w:pPr>
        <w:pStyle w:val="Ttulo3"/>
      </w:pPr>
      <w:r>
        <w:t xml:space="preserve">11. Demo - 1:45</w:t>
      </w:r>
    </w:p>
    <w:p>
      <w:pPr>
        <w:pStyle w:val="Compact"/>
        <w:numPr>
          <w:ilvl w:val="0"/>
          <w:numId w:val="1012"/>
        </w:numPr>
      </w:pPr>
      <w:r>
        <w:t xml:space="preserve">Mateix cas d’ús, servei i domini.</w:t>
      </w:r>
    </w:p>
    <w:p>
      <w:pPr>
        <w:pStyle w:val="Compact"/>
        <w:numPr>
          <w:ilvl w:val="0"/>
          <w:numId w:val="1012"/>
        </w:numPr>
      </w:pPr>
      <w:r>
        <w:t xml:space="preserve">Canvia l’adaptador.</w:t>
      </w:r>
    </w:p>
    <w:p>
      <w:pPr>
        <w:pStyle w:val="Compact"/>
        <w:numPr>
          <w:ilvl w:val="0"/>
          <w:numId w:val="1012"/>
        </w:numPr>
      </w:pPr>
      <w:r>
        <w:t xml:space="preserve">Perfils: Finnhub, Alpha Vantage, mock.</w:t>
      </w:r>
    </w:p>
    <w:p>
      <w:pPr>
        <w:pStyle w:val="Compact"/>
        <w:numPr>
          <w:ilvl w:val="0"/>
          <w:numId w:val="1012"/>
        </w:numPr>
      </w:pPr>
      <w:r>
        <w:t xml:space="preserve">Finnhub i Alpha Vantage són implementacions concretes; el contracte no canvia.</w:t>
      </w:r>
    </w:p>
    <w:p>
      <w:pPr>
        <w:pStyle w:val="Compact"/>
        <w:numPr>
          <w:ilvl w:val="0"/>
          <w:numId w:val="1012"/>
        </w:numPr>
      </w:pPr>
      <w:r>
        <w:t xml:space="preserve">Utilitat docent: proves amb adaptador mock i sense claus reals.</w:t>
      </w:r>
    </w:p>
    <w:p>
      <w:pPr>
        <w:pStyle w:val="Compact"/>
        <w:numPr>
          <w:ilvl w:val="0"/>
          <w:numId w:val="1012"/>
        </w:numPr>
      </w:pPr>
      <w:r>
        <w:t xml:space="preserve">Transició: conclusió final.</w:t>
      </w:r>
    </w:p>
    <w:bookmarkEnd w:id="32"/>
    <w:bookmarkStart w:id="33" w:name="agraïment---120"/>
    <w:p>
      <w:pPr>
        <w:pStyle w:val="Ttulo3"/>
      </w:pPr>
      <w:r>
        <w:t xml:space="preserve">12. Agraïment - 1:20</w:t>
      </w:r>
    </w:p>
    <w:p>
      <w:pPr>
        <w:pStyle w:val="Compact"/>
        <w:numPr>
          <w:ilvl w:val="0"/>
          <w:numId w:val="1013"/>
        </w:numPr>
      </w:pPr>
      <w:r>
        <w:t xml:space="preserve">Arquitectura no elimina canvi; el localitza.</w:t>
      </w:r>
    </w:p>
    <w:p>
      <w:pPr>
        <w:pStyle w:val="Compact"/>
        <w:numPr>
          <w:ilvl w:val="0"/>
          <w:numId w:val="1013"/>
        </w:numPr>
      </w:pPr>
      <w:r>
        <w:t xml:space="preserve">Canviar adaptador, no cas d’ús ni domini.</w:t>
      </w:r>
    </w:p>
    <w:p>
      <w:pPr>
        <w:pStyle w:val="Compact"/>
        <w:numPr>
          <w:ilvl w:val="0"/>
          <w:numId w:val="1013"/>
        </w:numPr>
      </w:pPr>
      <w:r>
        <w:t xml:space="preserve">Agraïment TecnoCampus.</w:t>
      </w:r>
    </w:p>
    <w:p>
      <w:pPr>
        <w:pStyle w:val="Compact"/>
        <w:numPr>
          <w:ilvl w:val="0"/>
          <w:numId w:val="1013"/>
        </w:numPr>
      </w:pPr>
      <w:r>
        <w:t xml:space="preserve">Agraïment Dr. Josep Roure.</w:t>
      </w:r>
    </w:p>
    <w:p>
      <w:pPr>
        <w:pStyle w:val="Compact"/>
        <w:numPr>
          <w:ilvl w:val="0"/>
          <w:numId w:val="1013"/>
        </w:numPr>
      </w:pPr>
      <w:r>
        <w:t xml:space="preserve">Tancar mirant el tribunal:</w:t>
      </w:r>
      <w:r>
        <w:t xml:space="preserve"> </w:t>
      </w:r>
      <w:r>
        <w:rPr>
          <w:rStyle w:val="VerbatimChar"/>
        </w:rPr>
        <w:t xml:space="preserve">Moltes gràcies</w:t>
      </w:r>
      <w:r>
        <w:t xml:space="preserve">.</w:t>
      </w:r>
    </w:p>
    <w:bookmarkEnd w:id="33"/>
    <w:bookmarkEnd w:id="34"/>
    <w:bookmarkStart w:id="35"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Inversió de dependències</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Demo</w:t>
            </w:r>
          </w:p>
        </w:tc>
      </w:tr>
      <w:tr>
        <w:tc>
          <w:tcPr/>
          <w:p>
            <w:pPr>
              <w:pStyle w:val="Compact"/>
            </w:pPr>
            <w:r>
              <w:t xml:space="preserve">11</w:t>
            </w:r>
          </w:p>
        </w:tc>
        <w:tc>
          <w:tcPr/>
          <w:p>
            <w:pPr>
              <w:pStyle w:val="Compact"/>
            </w:pPr>
            <w:r>
              <w:t xml:space="preserve">Canvia infraestructura, no cas d’ús</w:t>
            </w:r>
          </w:p>
        </w:tc>
        <w:tc>
          <w:tcPr/>
          <w:p>
            <w:pPr>
              <w:pStyle w:val="Compact"/>
            </w:pPr>
            <w:r>
              <w:t xml:space="preserve">Adaptador substituïble</w:t>
            </w:r>
          </w:p>
        </w:tc>
        <w:tc>
          <w:tcPr/>
          <w:p>
            <w:pPr>
              <w:pStyle w:val="Compact"/>
            </w:pPr>
            <w:r>
              <w:t xml:space="preserve">Flux</w:t>
            </w:r>
          </w:p>
        </w:tc>
        <w:tc>
          <w:tcPr/>
          <w:p>
            <w:pPr>
              <w:pStyle w:val="Compact"/>
            </w:pPr>
            <w:r>
              <w:t xml:space="preserve">Conclusió</w:t>
            </w:r>
          </w:p>
        </w:tc>
      </w:tr>
      <w:tr>
        <w:tc>
          <w:tcPr/>
          <w:p>
            <w:pPr>
              <w:pStyle w:val="Compact"/>
            </w:pPr>
            <w:r>
              <w:t xml:space="preserve">12</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Demo</w:t>
            </w:r>
          </w:p>
        </w:tc>
        <w:tc>
          <w:tcPr/>
          <w:p>
            <w:pPr>
              <w:pStyle w:val="Compact"/>
            </w:pPr>
            <w:r>
              <w:t xml:space="preserve">Tancament</w:t>
            </w:r>
          </w:p>
        </w:tc>
      </w:tr>
    </w:tbl>
    <w:p>
      <w:pPr>
        <w:pStyle w:val="Textoindependiente"/>
      </w:pPr>
      <w:r>
        <w:t xml:space="preserve">Mantra de memòria:</w:t>
      </w:r>
      <w:r>
        <w:t xml:space="preserve"> </w:t>
      </w:r>
      <w:r>
        <w:rPr>
          <w:rStyle w:val="VerbatimChar"/>
        </w:rPr>
        <w:t xml:space="preserve">context -&gt; assignatura -&gt; objectiu breu -&gt; procediment -&gt; dada externa -&gt; acoblament -&gt; port -&gt; AGAUR -&gt; domini financer -&gt; HexaStock -&gt; demo -&gt; conclusió</w:t>
      </w:r>
      <w:r>
        <w:t xml:space="preserve">.</w:t>
      </w:r>
    </w:p>
    <w:bookmarkEnd w:id="35"/>
    <w:bookmarkStart w:id="36" w:name="pla-dentrenament-comunicatiu"/>
    <w:p>
      <w:pPr>
        <w:pStyle w:val="Ttulo2"/>
      </w:pPr>
      <w:r>
        <w:t xml:space="preserve">4. Pla d’entrenament comunicatiu</w:t>
      </w:r>
    </w:p>
    <w:p>
      <w:pPr>
        <w:pStyle w:val="FirstParagraph"/>
      </w:pPr>
      <w:r>
        <w:rPr>
          <w:b/>
          <w:bCs/>
        </w:rPr>
        <w:t xml:space="preserve">Entrenament inicial</w:t>
      </w:r>
    </w:p>
    <w:p>
      <w:pPr>
        <w:pStyle w:val="Textoindependiente"/>
      </w:pPr>
      <w:r>
        <w:t xml:space="preserve">Llegeix el guió complet en veu alta dues vegades sense cronòmetre. L’objectiu no és memoritzar, sinó detectar frases que no sonen naturals. Marca amb llapis les frases que vols dir exactament igual: la definició inicial, la distinció entre flux i dependència, i la conclusió final. La resta pot ser més flexible.</w:t>
      </w:r>
    </w:p>
    <w:p>
      <w:pPr>
        <w:pStyle w:val="Textoindependiente"/>
      </w:pPr>
      <w:r>
        <w:t xml:space="preserve">Després fes una lectura cronometrada. Ritme orientatiu: 125-135 paraules per minut, amb pauses reals. Si surt per sobre de 22 minuts, retalla exemples; si surt per sota de 18:30, no afegeixis contingut tècnic, amplia pauses i transicions.</w:t>
      </w:r>
    </w:p>
    <w:p>
      <w:pPr>
        <w:pStyle w:val="Textoindependiente"/>
      </w:pPr>
      <w:r>
        <w:rPr>
          <w:b/>
          <w:bCs/>
        </w:rPr>
        <w:t xml:space="preserve">Entrenament intermedi</w:t>
      </w:r>
    </w:p>
    <w:p>
      <w:pPr>
        <w:pStyle w:val="Textoindependiente"/>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9-12, domini financer, HexaStock, demo i tancament.</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p>
      <w:pPr>
        <w:pStyle w:val="Textoindependiente"/>
      </w:pPr>
      <w:r>
        <w:rPr>
          <w:b/>
          <w:bCs/>
        </w:rPr>
        <w:t xml:space="preserve">Assaig final</w:t>
      </w:r>
    </w:p>
    <w:p>
      <w:pPr>
        <w:pStyle w:val="Textoindependiente"/>
      </w:pPr>
      <w:r>
        <w:t xml:space="preserve">Fes com a mínim tres passades completes:</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rPr>
          <w:b/>
          <w:bCs/>
        </w:rPr>
        <w:t xml:space="preserve">Ritme, veu i cos</w:t>
      </w:r>
    </w:p>
    <w:p>
      <w:pPr>
        <w:pStyle w:val="Textoindependiente"/>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bookmarkEnd w:id="36"/>
    <w:bookmarkStart w:id="37" w:name="advertiments-finals"/>
    <w:p>
      <w:pPr>
        <w:pStyle w:val="Ttulo2"/>
      </w:pPr>
      <w:r>
        <w:t xml:space="preserve">5. Advertiments finals</w:t>
      </w:r>
    </w:p>
    <w:p>
      <w:pPr>
        <w:pStyle w:val="FirstParagraph"/>
      </w:pPr>
      <w:r>
        <w:t xml:space="preserve">Risc de temps: les diapositives 4-10 poden allargar-se fàcilment. Si vas tard, no retallis la conclusió; retalla detall del cas AGAUR i de la demo.</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37"/>
    <w:bookmarkEnd w:id="38"/>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2026-07-03T18:12:22Z</dcterms:created>
  <dcterms:modified xsi:type="dcterms:W3CDTF">2026-07-03T18:12:22Z</dcterms:modified>
</cp:coreProperties>
</file>

<file path=docProps/custom.xml><?xml version="1.0" encoding="utf-8"?>
<Properties xmlns="http://schemas.openxmlformats.org/officeDocument/2006/custom-properties" xmlns:vt="http://schemas.openxmlformats.org/officeDocument/2006/docPropsVTypes"/>
</file>