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bookmarkStart w:id="9" w:name="diagnòstic-general"/>
    <w:p>
      <w:pPr>
        <w:pStyle w:val="Heading2"/>
      </w:pPr>
      <w:r>
        <w:t xml:space="preserve">1. Diagnòstic general</w:t>
      </w:r>
    </w:p>
    <w:p>
      <w:pPr>
        <w:pStyle w:val="FirstParagraph"/>
      </w:pPr>
      <w:r>
        <w:t xml:space="preserve">La presentació té un fil narratiu acadèmicament defensable: situa la microlliçó dins Disseny de Sistemes d’Informació, formula un objectiu d’aprenentatge concret, parteix d’un cas real d’administració pública, diagnostica l’acoblament tecnològic, presenta el port de sortida i transfereix el patró a HexaStock. Aquesta estructura és adequada per a un tribunal perquè no presenta només tecnologia, sinó una decisió de disseny vinculada a docència, experiència professional i rigor arquitectònic.</w:t>
      </w:r>
    </w:p>
    <w:p>
      <w:pPr>
        <w:pStyle w:val="BodyText"/>
      </w:pPr>
      <w:r>
        <w:t xml:space="preserve">El punt més fort és la connexió entre el pla docent i l’informe AGAUR. El pla docent situa l’assignatura a tercer curs, 6 ECTS, amb continguts de clean o hexagonal architecture, ports i adaptadors, mapping entre capes, organització en mòduls, microserveis i DDD. L’informe AGAUR acredita una activitat real de 60 hores, entre maig i juliol de 2025, centrada en serveis REST i arquitectura hexagonal aplicada a sistemes d’informació, amb refactorització de serveis SOAP cap a REST, reducció d’acoblament, separació de responsabilitats, proves i mantenibilitat.</w:t>
      </w:r>
    </w:p>
    <w:p>
      <w:pPr>
        <w:pStyle w:val="BodyText"/>
      </w:pPr>
      <w:r>
        <w:t xml:space="preserve">El punt conceptual que cal preservar és la distinció entre tres plans diferents: flux d’execució, dependència de codi i dependència arquitectònica. Aquesta millora ja queda incorporada als diagrames principals: quan la fletxa representa implementació, apunta de l’adaptador cap al port; quan representa ús o flux d’execució, pot sortir del servei cap al port i cap al sistema extern. Les dues lectures són compatibles, però s’han de distingir oralment amb precisió.</w:t>
      </w:r>
    </w:p>
    <w:p>
      <w:pPr>
        <w:pStyle w:val="BodyText"/>
      </w:pPr>
      <w:r>
        <w:t xml:space="preserve">S’han revisat també els detalls formals del text visible de la presentació: ortografia, accents, apòstrofs, cometes, noms propis i numeració visible de les diapositives. La terminologia de desacoblament ja queda formulada de manera correcta i coherent.</w:t>
      </w:r>
    </w:p>
    <w:bookmarkEnd w:id="9"/>
    <w:bookmarkStart w:id="10" w:name="estat-de-les-millores-per-diapositiva"/>
    <w:p>
      <w:pPr>
        <w:pStyle w:val="Heading2"/>
      </w:pPr>
      <w:r>
        <w:t xml:space="preserve">2. Estat de les millores per diapositiva</w:t>
      </w:r>
    </w:p>
    <w:p>
      <w:pPr>
        <w:pStyle w:val="FirstParagraph"/>
      </w:pPr>
      <w:r>
        <w:rPr>
          <w:b/>
          <w:bCs/>
        </w:rPr>
        <w:t xml:space="preserve">Diapositiva 1. Portada</w:t>
      </w:r>
    </w:p>
    <w:p>
      <w:pPr>
        <w:pStyle w:val="BodyText"/>
      </w:pPr>
      <w:r>
        <w:t xml:space="preserve">Mantindria el títol. És clar, tècnic i ajustat. Afegiria oralment, no necessàriament a la diapositiva, que l’informe AGAUR està incorporat a la documentació del tribunal com a evidència de la connexió entre docència i pràctica professional. No carregaria la portada amb més text.</w:t>
      </w:r>
    </w:p>
    <w:p>
      <w:pPr>
        <w:pStyle w:val="BodyText"/>
      </w:pPr>
      <w:r>
        <w:rPr>
          <w:b/>
          <w:bCs/>
        </w:rPr>
        <w:t xml:space="preserve">Diapositiva 2. On som dins l’assignatura</w:t>
      </w:r>
    </w:p>
    <w:p>
      <w:pPr>
        <w:pStyle w:val="BodyText"/>
      </w:pPr>
      <w:r>
        <w:t xml:space="preserve">La diapositiva funciona. S’ha reforçat el vincle amb el pla docent amb una referència discreta:</w:t>
      </w:r>
      <w:r>
        <w:t xml:space="preserve"> </w:t>
      </w:r>
      <w:r>
        <w:rPr>
          <w:rStyle w:val="VerbatimChar"/>
        </w:rPr>
        <w:t xml:space="preserve">Pla docent 103322: clean/hexagonal architecture, ports i adaptadors, mapping, mòduls i DDD</w:t>
      </w:r>
      <w:r>
        <w:t xml:space="preserve">. No cal citar tot el pla docent; amb aquesta referència n’hi ha prou.</w:t>
      </w:r>
    </w:p>
    <w:p>
      <w:pPr>
        <w:pStyle w:val="BodyText"/>
      </w:pPr>
      <w:r>
        <w:rPr>
          <w:b/>
          <w:bCs/>
        </w:rPr>
        <w:t xml:space="preserve">Diapositiva 3. Objectiu de la sessió</w:t>
      </w:r>
    </w:p>
    <w:p>
      <w:pPr>
        <w:pStyle w:val="BodyText"/>
      </w:pPr>
      <w:r>
        <w:t xml:space="preserve">Correcció aplicada. Les antigues diapositives 3 i 4 s’han fusionat en una sola diapositiva pont, més lleugera i sense diagrama. La diapositiva presenta només el principi de treball —el cas d’ús necessita una capacitat, no una tecnologia— i les tres accions observables: identificar una necessitat, definir un port de sortida i implementar adaptadors. La funció d’aquesta diapositiva és situar l’objectiu sense frenar l’entrada al cas real.</w:t>
      </w:r>
    </w:p>
    <w:p>
      <w:pPr>
        <w:pStyle w:val="BodyText"/>
      </w:pPr>
      <w:r>
        <w:rPr>
          <w:b/>
          <w:bCs/>
        </w:rPr>
        <w:t xml:space="preserve">Diapositiva 4. Avaluació econòmica d’una beca</w:t>
      </w:r>
    </w:p>
    <w:p>
      <w:pPr>
        <w:pStyle w:val="BodyText"/>
      </w:pPr>
      <w:r>
        <w:t xml:space="preserve">La diapositiva situa bé el cas funcional abans de la tecnologia. S’hi ha incorporat una formulació més institucional i prudent:</w:t>
      </w:r>
      <w:r>
        <w:t xml:space="preserve"> </w:t>
      </w:r>
      <w:r>
        <w:rPr>
          <w:rStyle w:val="VerbatimChar"/>
        </w:rPr>
        <w:t xml:space="preserve">Quan no s'acredita el compliment dels requisits econòmics, l'expedient no obté una valoració favorable en aquesta fase.</w:t>
      </w:r>
      <w:r>
        <w:t xml:space="preserve"> </w:t>
      </w:r>
      <w:r>
        <w:t xml:space="preserve">El diagrama petit pot ser difícil de llegir; si no es retoca, cal assenyalar només el bloc d’avaluació econòmica.</w:t>
      </w:r>
    </w:p>
    <w:p>
      <w:pPr>
        <w:pStyle w:val="BodyText"/>
      </w:pPr>
      <w:r>
        <w:rPr>
          <w:b/>
          <w:bCs/>
        </w:rPr>
        <w:t xml:space="preserve">Diapositiva 5. Informació externa</w:t>
      </w:r>
    </w:p>
    <w:p>
      <w:pPr>
        <w:pStyle w:val="BodyText"/>
      </w:pPr>
      <w:r>
        <w:t xml:space="preserve">La idea és molt bona: necessitat funcional abans que API concreta. La definició de PICA s’ha simplificat per evitar una nota massa llarga. La resta s’explica oralment.</w:t>
      </w:r>
    </w:p>
    <w:p>
      <w:pPr>
        <w:pStyle w:val="BodyText"/>
      </w:pPr>
      <w:r>
        <w:rPr>
          <w:b/>
          <w:bCs/>
        </w:rPr>
        <w:t xml:space="preserve">Diapositiva 6. Dependència directa</w:t>
      </w:r>
    </w:p>
    <w:p>
      <w:pPr>
        <w:pStyle w:val="BodyText"/>
      </w:pPr>
      <w:r>
        <w:t xml:space="preserve">Funciona com a diapositiva de problema. Recomanació: si no es vol aportar una font pública específica sobre</w:t>
      </w:r>
      <w:r>
        <w:t xml:space="preserve"> </w:t>
      </w:r>
      <w:r>
        <w:rPr>
          <w:rStyle w:val="VerbatimChar"/>
        </w:rPr>
        <w:t xml:space="preserve">principis del CTTI</w:t>
      </w:r>
      <w:r>
        <w:t xml:space="preserve">, suavitzar la frase inicial:</w:t>
      </w:r>
      <w:r>
        <w:t xml:space="preserve"> </w:t>
      </w:r>
      <w:r>
        <w:rPr>
          <w:rStyle w:val="VerbatimChar"/>
        </w:rPr>
        <w:t xml:space="preserve">En arquitectures corporatives, l'orientació habitual és reduir l'acoblament i encapsular la integració amb sistemes externs</w:t>
      </w:r>
      <w:r>
        <w:t xml:space="preserve">. Mantindria la frase final:</w:t>
      </w:r>
      <w:r>
        <w:t xml:space="preserve"> </w:t>
      </w:r>
      <w:r>
        <w:rPr>
          <w:rStyle w:val="VerbatimChar"/>
        </w:rPr>
        <w:t xml:space="preserve">El problema no és consumir PICA; és que el procediment en depengui directament</w:t>
      </w:r>
      <w:r>
        <w:t xml:space="preserve">.</w:t>
      </w:r>
    </w:p>
    <w:p>
      <w:pPr>
        <w:pStyle w:val="BodyText"/>
      </w:pPr>
      <w:r>
        <w:rPr>
          <w:b/>
          <w:bCs/>
        </w:rPr>
        <w:t xml:space="preserve">Diapositiva 7. Port de sortida i adaptador</w:t>
      </w:r>
    </w:p>
    <w:p>
      <w:pPr>
        <w:pStyle w:val="BodyText"/>
      </w:pPr>
      <w:r>
        <w:t xml:space="preserve">La diapositiva funciona com a esquema de flux d’execució: cas d’ús, port, adaptador i sistema extern. No cal carregar-la amb una segona notació gràfica. Oralment convé aclarir que aquesta seqüència mostra el camí de la crida, mentre que la dependència de codi queda expressada en els diagrames següents: el servei usa el port i l’adaptador implementa el port.</w:t>
      </w:r>
    </w:p>
    <w:p>
      <w:pPr>
        <w:pStyle w:val="BodyText"/>
      </w:pPr>
      <w:r>
        <w:rPr>
          <w:b/>
          <w:bCs/>
        </w:rPr>
        <w:t xml:space="preserve">Diapositiva 8. Port de sortida per a informació patrimonial</w:t>
      </w:r>
    </w:p>
    <w:p>
      <w:pPr>
        <w:pStyle w:val="BodyText"/>
      </w:pPr>
      <w:r>
        <w:t xml:space="preserve">Correcció aplicada. El diagrama ja diferencia el flux d’ús del servei cap als ports i la implementació dels ports per part dels adaptadors. Les fletxes</w:t>
      </w:r>
      <w:r>
        <w:t xml:space="preserve"> </w:t>
      </w:r>
      <w:r>
        <w:rPr>
          <w:rStyle w:val="VerbatimChar"/>
        </w:rPr>
        <w:t xml:space="preserve">implemented by</w:t>
      </w:r>
      <w:r>
        <w:t xml:space="preserve"> </w:t>
      </w:r>
      <w:r>
        <w:t xml:space="preserve">apunten des dels adaptadors cap als ports, de manera coherent amb la inversió de dependències. En l’explicació oral cal mantenir aquesta lectura: el servei usa el port; l’adaptador implementa el port.</w:t>
      </w:r>
    </w:p>
    <w:p>
      <w:pPr>
        <w:pStyle w:val="BodyText"/>
      </w:pPr>
      <w:r>
        <w:rPr>
          <w:b/>
          <w:bCs/>
        </w:rPr>
        <w:t xml:space="preserve">Diapositiva 9. Transferència a domini financer</w:t>
      </w:r>
    </w:p>
    <w:p>
      <w:pPr>
        <w:pStyle w:val="BodyText"/>
      </w:pPr>
      <w:r>
        <w:t xml:space="preserve">Correcció aplicada. El diagrama HexaStock ja manté la mateixa lectura que el cas AGAUR: les fletxes d’ús representen el flux del servei cap als ports, i les fletxes</w:t>
      </w:r>
      <w:r>
        <w:t xml:space="preserve"> </w:t>
      </w:r>
      <w:r>
        <w:rPr>
          <w:rStyle w:val="VerbatimChar"/>
        </w:rPr>
        <w:t xml:space="preserve">implemented by</w:t>
      </w:r>
      <w:r>
        <w:t xml:space="preserve"> </w:t>
      </w:r>
      <w:r>
        <w:t xml:space="preserve">apunten dels adaptadors cap als ports. En</w:t>
      </w:r>
      <w:r>
        <w:t xml:space="preserve"> </w:t>
      </w:r>
      <w:r>
        <w:rPr>
          <w:rStyle w:val="VerbatimChar"/>
        </w:rPr>
        <w:t xml:space="preserve">StockPriceProviderPort</w:t>
      </w:r>
      <w:r>
        <w:t xml:space="preserve">, els adaptadors de mercat apareixen com a implementacions del port. El missatge central és correcte i s’ha de mantenir: el cas d’ús necessita el preu actual, no un proveïdor concret.</w:t>
      </w:r>
    </w:p>
    <w:p>
      <w:pPr>
        <w:pStyle w:val="BodyText"/>
      </w:pPr>
      <w:r>
        <w:rPr>
          <w:b/>
          <w:bCs/>
        </w:rPr>
        <w:t xml:space="preserve">Diapositiva 10. Flux i codi essencial</w:t>
      </w:r>
    </w:p>
    <w:p>
      <w:pPr>
        <w:pStyle w:val="BodyText"/>
      </w:pPr>
      <w:r>
        <w:t xml:space="preserve">La diapositiva és forta perquè mostra el flux temporal. Afegiria oralment una frase preventiva:</w:t>
      </w:r>
      <w:r>
        <w:t xml:space="preserve"> </w:t>
      </w:r>
      <w:r>
        <w:rPr>
          <w:rStyle w:val="VerbatimChar"/>
        </w:rPr>
        <w:t xml:space="preserve">Aquest diagrama de seqüència representa ordre d'execució, no direcció de dependències de codi</w:t>
      </w:r>
      <w:r>
        <w:t xml:space="preserve">. Això evita contradiccions amb les diapositives 7-9.</w:t>
      </w:r>
    </w:p>
    <w:p>
      <w:pPr>
        <w:pStyle w:val="BodyText"/>
      </w:pPr>
      <w:r>
        <w:rPr>
          <w:b/>
          <w:bCs/>
        </w:rPr>
        <w:t xml:space="preserve">Diapositiva 11. Demo</w:t>
      </w:r>
    </w:p>
    <w:p>
      <w:pPr>
        <w:pStyle w:val="BodyText"/>
      </w:pPr>
      <w:r>
        <w:t xml:space="preserve">Funciona com a demostració controlada. Substituiria</w:t>
      </w:r>
      <w:r>
        <w:t xml:space="preserve"> </w:t>
      </w:r>
      <w:r>
        <w:rPr>
          <w:rStyle w:val="VerbatimChar"/>
        </w:rPr>
        <w:t xml:space="preserve">consultoria empresarial</w:t>
      </w:r>
      <w:r>
        <w:t xml:space="preserve"> </w:t>
      </w:r>
      <w:r>
        <w:t xml:space="preserve">per</w:t>
      </w:r>
      <w:r>
        <w:t xml:space="preserve"> </w:t>
      </w:r>
      <w:r>
        <w:rPr>
          <w:rStyle w:val="VerbatimChar"/>
        </w:rPr>
        <w:t xml:space="preserve">formació o consultoria professional</w:t>
      </w:r>
      <w:r>
        <w:t xml:space="preserve">, perquè en aquest context la referència principal és administració pública i universitat. Si es fa demo real, cal tenir preparada una versió sense internet ni claus.</w:t>
      </w:r>
    </w:p>
    <w:p>
      <w:pPr>
        <w:pStyle w:val="BodyText"/>
      </w:pPr>
      <w:r>
        <w:rPr>
          <w:b/>
          <w:bCs/>
        </w:rPr>
        <w:t xml:space="preserve">Diapositiva 12. Agraïment</w:t>
      </w:r>
    </w:p>
    <w:p>
      <w:pPr>
        <w:pStyle w:val="BodyText"/>
      </w:pPr>
      <w:r>
        <w:t xml:space="preserve">Correcta i institucional. El tancament s’ha reformulat per evitar un to de comiat o de petició explícita: agraeix l’entorn que encoratja el creixement docent i acadèmic, en present, i manté el vincle amb l’equip docent. El pla docent identifica el professor com a Josep Roure Alcobé; per coherència documental, es pot fer servir</w:t>
      </w:r>
      <w:r>
        <w:t xml:space="preserve"> </w:t>
      </w:r>
      <w:r>
        <w:rPr>
          <w:rStyle w:val="VerbatimChar"/>
        </w:rPr>
        <w:t xml:space="preserve">Dr. Josep Roure Alcobé</w:t>
      </w:r>
      <w:r>
        <w:t xml:space="preserve">. Millor tancar mirant el tribunal, no llegint la diapositiva.</w:t>
      </w:r>
    </w:p>
    <w:bookmarkEnd w:id="10"/>
    <w:bookmarkStart w:id="23" w:name="guió-oral-complet-imprimible"/>
    <w:p>
      <w:pPr>
        <w:pStyle w:val="Heading2"/>
      </w:pPr>
      <w:r>
        <w:t xml:space="preserve">3. Guió oral complet imprimible</w:t>
      </w:r>
    </w:p>
    <w:p>
      <w:pPr>
        <w:pStyle w:val="FirstParagraph"/>
      </w:pPr>
      <w:r>
        <w:t xml:space="preserve">Temps total previst: 20:00.</w:t>
      </w:r>
    </w:p>
    <w:bookmarkStart w:id="11" w:name="diapositiva-1.-portada---145"/>
    <w:p>
      <w:pPr>
        <w:pStyle w:val="Heading3"/>
      </w:pPr>
      <w:r>
        <w:t xml:space="preserve">Diapositiva 1. Portada - 1:45</w:t>
      </w:r>
    </w:p>
    <w:p>
      <w:pPr>
        <w:pStyle w:val="FirstParagraph"/>
      </w:pPr>
      <w:r>
        <w:t xml:space="preserve">Bon dia, membres del tribunal. [pausa breu, mirada al tribunal]</w:t>
      </w:r>
    </w:p>
    <w:p>
      <w:pPr>
        <w:pStyle w:val="BodyText"/>
      </w:pPr>
      <w:r>
        <w:t xml:space="preserve">La microlliçó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BodyText"/>
      </w:pPr>
      <w:r>
        <w:t xml:space="preserve">Abans d’entrar en el contingut tècnic, voldria fer una precisió de context. A la documentació del tribunal he incorporat un informe acreditatiu de la meva activitat de formació i consultoria especialitzada per a l’AGAUR, l’Agència de Gestió d’Ajuts Universitaris i de Recerca. Aquest informe acredita una activitat de 60 hores, desenvolupada entre maig i juliol de 2025, centrada en serveis REST, arquitectura hexagonal i sistemes d’informació. [pausa breu]</w:t>
      </w:r>
    </w:p>
    <w:p>
      <w:pPr>
        <w:pStyle w:val="BodyText"/>
      </w:pPr>
      <w:r>
        <w:t xml:space="preserve">Ho explico al principi perquè aquesta sessió està plantejada deliberadament a partir d’una doble vinculació. D’una banda, és una microlliçó situada dins l’assignatura Disseny de Sistemes d’Informació, que imparteixo juntament amb el Dr. Josep Roure. De l’altra, parteix d’un cas professional real en l’àmbit de l’administració pública catalana. [mirada al tribunal]</w:t>
      </w:r>
    </w:p>
    <w:p>
      <w:pPr>
        <w:pStyle w:val="BodyText"/>
      </w:pPr>
      <w:r>
        <w:t xml:space="preserve">La intenció no és revelar cap detall intern, ni cap endpoint, ni cap dada sensible. La intenció és docent: mostrar com conceptes que treballem a l’aula, com ports, adaptadors, inversió de dependències i separació entre domini, aplicació i infraestructura, apareixen també en problemes reals d’evolució de sistemes d’informació. [pausa]</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11"/>
    <w:bookmarkStart w:id="12" w:name="Xbd8d813bdf1f660b3e63d6e4e001ea5920e5fb0"/>
    <w:p>
      <w:pPr>
        <w:pStyle w:val="Heading3"/>
      </w:pPr>
      <w:r>
        <w:t xml:space="preserve">Diapositiva 2. On som dins l’assignatura - 1:10</w:t>
      </w:r>
    </w:p>
    <w:p>
      <w:pPr>
        <w:pStyle w:val="FirstParagraph"/>
      </w:pPr>
      <w:r>
        <w:t xml:space="preserve">La sessió se situa dins Disseny de Sistemes d’Informació, una assignatura obligatòria de tercer curs, de 6 ECTS. [assenyalar la part esquerra]</w:t>
      </w:r>
    </w:p>
    <w:p>
      <w:pPr>
        <w:pStyle w:val="BodyText"/>
      </w:pPr>
      <w:r>
        <w:t xml:space="preserve">El pla docent de l’assignatura explica que s’hi treballa una visió global d’arquitectures de sistemes d’informació: arquitectures per capes, arquitectures clean o hexagonals, i arquitectures basades en microserveis. Dins el bloc d’arquitectures clean o hexagonals hi apareixen explícitament ports i adaptadors, mapping entre capes i organització en mòduls. [to calmat, explicatiu]</w:t>
      </w:r>
    </w:p>
    <w:p>
      <w:pPr>
        <w:pStyle w:val="BodyText"/>
      </w:pPr>
      <w:r>
        <w:t xml:space="preserve">Per tant, aquesta no és una sessió afegida artificialment al temari. És una microlliçó versemblant dins l’assignatura. [pausa breu]</w:t>
      </w:r>
    </w:p>
    <w:p>
      <w:pPr>
        <w:pStyle w:val="BodyText"/>
      </w:pPr>
      <w:r>
        <w:t xml:space="preserve">El que farem avui és acotar molt el focus. No analitzarem tota l’arquitectura hexagonal. Ens centrarem en els ports de sortida: aquells ports que permeten que l’aplicació obtingui o persisteixi informació mitjançant sistemes externs, sense que el cas d’ús quedi lligat a una tecnologia concreta.</w:t>
      </w:r>
    </w:p>
    <w:bookmarkEnd w:id="12"/>
    <w:bookmarkStart w:id="13"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[mirar el tribunal]</w:t>
      </w:r>
    </w:p>
    <w:p>
      <w:pPr>
        <w:pStyle w:val="BodyText"/>
      </w:pPr>
      <w:r>
        <w:t xml:space="preserve">Per tant, el que aprendrem és a fer tres operacions: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3"/>
    <w:bookmarkStart w:id="14" w:name="Xe44e148b7ebe898f3299718f45351b6467fee24"/>
    <w:p>
      <w:pPr>
        <w:pStyle w:val="Heading3"/>
      </w:pPr>
      <w:r>
        <w:t xml:space="preserve">Diapositiva 4. Avaluació econòmica d’una beca - 1:50</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4"/>
    <w:bookmarkStart w:id="15" w:name="X49d8499aef8096cf0d8707c0a2b10b4e00df2f8"/>
    <w:p>
      <w:pPr>
        <w:pStyle w:val="Heading3"/>
      </w:pPr>
      <w:r>
        <w:t xml:space="preserve">Diapositiva 5. Quina informació externa necessita el procediment? - 2:00</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En termes de fonts administratives, apareixen organismes i plataformes com l’AEAT, el Cadastre i PICA. [assenyalar la columna de fonts]</w:t>
      </w:r>
    </w:p>
    <w:p>
      <w:pPr>
        <w:pStyle w:val="BodyText"/>
      </w:pPr>
      <w:r>
        <w:t xml:space="preserve">PICA és la Plataforma d’Integració i Col·laboració Administrativa de la Generalitat de Catalunya. Per a aquesta microlliçó, no cal entrar en tots els detalls tècnics de PICA. El que ens interessa és que actua com a mecanisme corporatiu d’interoperabilitat administrativa.</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l’API concreta no sigui important. Ho és, i molt. Però pertany a un altre nivell de decisió. El cas d’ús ha de poder dir:</w:t>
      </w:r>
      <w:r>
        <w:t xml:space="preserve"> </w:t>
      </w:r>
      <w:r>
        <w:rPr>
          <w:rStyle w:val="VerbatimChar"/>
        </w:rPr>
        <w:t xml:space="preserve">necessito informació patrimonial avaluable</w:t>
      </w:r>
      <w:r>
        <w:t xml:space="preserve">. L’adaptador ja resoldrà si aquesta informació arriba per SOAP, REST, PICA, un certificat, una base de dades corporativa o un mecanisme futur.</w:t>
      </w:r>
    </w:p>
    <w:p>
      <w:pPr>
        <w:pStyle w:val="BodyText"/>
      </w:pPr>
      <w:r>
        <w:t xml:space="preserve">Quan aquesta separació no es respecta, apareix el problema arquitectònic que veurem ara.</w:t>
      </w:r>
    </w:p>
    <w:bookmarkEnd w:id="15"/>
    <w:bookmarkStart w:id="16" w:name="X84147f10029592ec3bd146ffb3a5109a19eca0d"/>
    <w:p>
      <w:pPr>
        <w:pStyle w:val="Heading3"/>
      </w:pPr>
      <w:r>
        <w:t xml:space="preserve">Diapositiva 6. Dependència directa entre procediment i integració - 2:10</w:t>
      </w:r>
    </w:p>
    <w:p>
      <w:pPr>
        <w:pStyle w:val="FirstParagraph"/>
      </w:pPr>
      <w:r>
        <w:t xml:space="preserve">Imaginem una situació en què el cas d’ús queda vinculat directament a la cadena tècnica: SOAP/XML, PICA, AEAT o Cadastre.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DTOs externs,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BodyText"/>
      </w:pPr>
      <w:r>
        <w:t xml:space="preserve">Des del punt de vista de l’enginyeria de software,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6"/>
    <w:bookmarkStart w:id="17" w:name="X43a98a6def8e1803c902d37f4cf49908c0aca50"/>
    <w:p>
      <w:pPr>
        <w:pStyle w:val="Heading3"/>
      </w:pPr>
      <w:r>
        <w:t xml:space="preserve">Diapositiva 7. Port de sortida i adaptador - 1:30</w:t>
      </w:r>
    </w:p>
    <w:p>
      <w:pPr>
        <w:pStyle w:val="FirstParagraph"/>
      </w:pPr>
      <w:r>
        <w:t xml:space="preserve">Un port de sortida és un contracte definit des de l’aplicació. [pausa breu]</w:t>
      </w:r>
    </w:p>
    <w:p>
      <w:pPr>
        <w:pStyle w:val="BodyText"/>
      </w:pPr>
      <w:r>
        <w:t xml:space="preserve">El cas d’ús o el servei d’aplicació diu:</w:t>
      </w:r>
      <w:r>
        <w:t xml:space="preserve"> </w:t>
      </w:r>
      <w:r>
        <w:rPr>
          <w:rStyle w:val="VerbatimChar"/>
        </w:rPr>
        <w:t xml:space="preserve">necessito aquesta capacitat</w:t>
      </w:r>
      <w:r>
        <w:t xml:space="preserve">. Per exemple: obtenir informació patrimonial, recuperar un expedient, desar una transacció o consultar el preu actual d’una acció. El port expressa aquest</w:t>
      </w:r>
      <w:r>
        <w:t xml:space="preserve"> </w:t>
      </w:r>
      <w:r>
        <w:rPr>
          <w:rStyle w:val="VerbatimChar"/>
        </w:rPr>
        <w:t xml:space="preserve">què</w:t>
      </w:r>
      <w:r>
        <w:t xml:space="preserve">. [assenyalar el port]</w:t>
      </w:r>
    </w:p>
    <w:p>
      <w:pPr>
        <w:pStyle w:val="BodyText"/>
      </w:pPr>
      <w:r>
        <w:t xml:space="preserve">L’adaptador, en canvi, resol el</w:t>
      </w:r>
      <w:r>
        <w:t xml:space="preserve"> </w:t>
      </w:r>
      <w:r>
        <w:rPr>
          <w:rStyle w:val="VerbatimChar"/>
        </w:rPr>
        <w:t xml:space="preserve">com</w:t>
      </w:r>
      <w:r>
        <w:t xml:space="preserve">. És la peça que coneix la tecnologia concreta: SOAP, REST, JDBC, JPA, un client HTTP, una estructura XML, JSON o el mecanisme que sigui necessari. [assenyalar adaptador i sistema extern]</w:t>
      </w:r>
    </w:p>
    <w:p>
      <w:pPr>
        <w:pStyle w:val="BodyText"/>
      </w:pPr>
      <w:r>
        <w:t xml:space="preserve">Aquí convé distingir dues fletxes. Si parlem de flux d’execució, el servei pot cridar el port i arribar finalment a l’adaptador. Però si parlem de dependència de codi, l’adaptador depèn del port, perquè l’adaptador implementa la interfície definida per l’aplicació. [mirada al tribunal]</w:t>
      </w:r>
    </w:p>
    <w:p>
      <w:pPr>
        <w:pStyle w:val="BodyText"/>
      </w:pPr>
      <w:r>
        <w:t xml:space="preserve">Aquesta és la inversió de dependències: el nucli no depèn de la implementació concreta; la implementació concreta depèn del contracte que defineix el nucli.</w:t>
      </w:r>
    </w:p>
    <w:bookmarkEnd w:id="17"/>
    <w:bookmarkStart w:id="18" w:name="X25282647dc1f1bc8d2bf508fc797cb7f01a992d"/>
    <w:p>
      <w:pPr>
        <w:pStyle w:val="Heading3"/>
      </w:pPr>
      <w:r>
        <w:t xml:space="preserve">Diapositiva 8. Port de sortida per a informació patrimonial - 2:05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BodyText"/>
      </w:pPr>
      <w:r>
        <w:t xml:space="preserve">El punt tècnic més important és que l’adaptador de PICA o l’adaptador JDBC no són el centre de l’arquitectura. Són substituïbles. El que és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 un domini financer docent: HexaStock.</w:t>
      </w:r>
    </w:p>
    <w:bookmarkEnd w:id="18"/>
    <w:bookmarkStart w:id="19" w:name="X619a10340c1a251e91abc9532d1ef3ec34eca8e"/>
    <w:p>
      <w:pPr>
        <w:pStyle w:val="Heading3"/>
      </w:pPr>
      <w:r>
        <w:t xml:space="preserve">Diapositiva 9. Transferència a domini financer - 1:45</w:t>
      </w:r>
    </w:p>
    <w:p>
      <w:pPr>
        <w:pStyle w:val="FirstParagraph"/>
      </w:pPr>
      <w:r>
        <w:t xml:space="preserve">HexaStock ens permet treballar el mateix patró en un domini diferent: la venda d’accions. [assenyalar el títol]</w:t>
      </w:r>
    </w:p>
    <w:p>
      <w:pPr>
        <w:pStyle w:val="BodyText"/>
      </w:pPr>
      <w:r>
        <w:t xml:space="preserve">Aquí el cas d’ús és vendre accions d’una cartera. Per fer-ho correctament, el servei d’aplicació necessita el preu actual del ticker. Però el cas d’ús no hauria de dependre de Finnhub, Alpha Vantage, tokens, endpoints, JSON, clients HTTP o disponibilitat d’internet. [pausa breu]</w:t>
      </w:r>
    </w:p>
    <w:p>
      <w:pPr>
        <w:pStyle w:val="BodyText"/>
      </w:pPr>
      <w:r>
        <w:t xml:space="preserve">El port de sortida és</w:t>
      </w:r>
      <w:r>
        <w:t xml:space="preserve"> </w:t>
      </w:r>
      <w:r>
        <w:rPr>
          <w:rStyle w:val="VerbatimChar"/>
        </w:rPr>
        <w:t xml:space="preserve">StockPriceProviderPort</w:t>
      </w:r>
      <w:r>
        <w:t xml:space="preserve">. Aquest port expressa la capacitat que l’aplicació necessita: obtenir el preu d’una acció. Després podem tenir diferents adaptadors que implementen aquest port:</w:t>
      </w:r>
      <w:r>
        <w:t xml:space="preserve"> </w:t>
      </w:r>
      <w:r>
        <w:rPr>
          <w:rStyle w:val="VerbatimChar"/>
        </w:rPr>
        <w:t xml:space="preserve">FinhubStockPriceAdapter</w:t>
      </w:r>
      <w:r>
        <w:t xml:space="preserve">,</w:t>
      </w:r>
      <w:r>
        <w:t xml:space="preserve"> </w:t>
      </w:r>
      <w:r>
        <w:rPr>
          <w:rStyle w:val="VerbatimChar"/>
        </w:rPr>
        <w:t xml:space="preserve">AlphaVantageStockPriceAdapter</w:t>
      </w:r>
      <w:r>
        <w:t xml:space="preserve"> </w:t>
      </w:r>
      <w:r>
        <w:t xml:space="preserve">o un adaptador mock per a proves i demos controlades.</w:t>
      </w:r>
    </w:p>
    <w:p>
      <w:pPr>
        <w:pStyle w:val="BodyText"/>
      </w:pPr>
      <w:r>
        <w:t xml:space="preserve">El patró és idèntic al cas AGAUR. En el cas administratiu, el procediment necessita informació patrimonial, no una tecnologia concreta. En HexaStock, el cas d’ús necessita un preu actual, no un proveïdor concret. [mirada al tribunal]</w:t>
      </w:r>
    </w:p>
    <w:p>
      <w:pPr>
        <w:pStyle w:val="BodyText"/>
      </w:pPr>
      <w:r>
        <w:t xml:space="preserve">Per tant, el missatge docent és transferible: primer identifiquem la necessitat funcional; després definim el port; finalment implementem adaptadors.</w:t>
      </w:r>
    </w:p>
    <w:bookmarkEnd w:id="19"/>
    <w:bookmarkStart w:id="20" w:name="Xf23ce5279610c607185e420fa6986d11a2001c6"/>
    <w:p>
      <w:pPr>
        <w:pStyle w:val="Heading3"/>
      </w:pPr>
      <w:r>
        <w:t xml:space="preserve">Diapositiva 10. Flux i codi essencial - 1:45</w:t>
      </w:r>
    </w:p>
    <w:p>
      <w:pPr>
        <w:pStyle w:val="FirstParagraph"/>
      </w:pPr>
      <w:r>
        <w:t xml:space="preserve">Aquesta diapositiva mostra el flux temporal del cas d’ús de venda. [assenyalar el diagrama de seqüència]</w:t>
      </w:r>
    </w:p>
    <w:p>
      <w:pPr>
        <w:pStyle w:val="BodyText"/>
      </w:pPr>
      <w:r>
        <w:t xml:space="preserve">Convé aclarir que, en un diagrama de seqüència, les fletxes representen ordre d’execució, no dependències de codi. Això és perfectament compatible amb la inversió de dependències que acabem d’explicar.</w:t>
      </w:r>
    </w:p>
    <w:p>
      <w:pPr>
        <w:pStyle w:val="BodyText"/>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w:t>
      </w:r>
      <w:r>
        <w:t xml:space="preserve"> </w:t>
      </w:r>
      <w:r>
        <w:rPr>
          <w:rStyle w:val="VerbatimChar"/>
        </w:rPr>
        <w:t xml:space="preserve">StockPriceProviderPort</w:t>
      </w:r>
      <w:r>
        <w:t xml:space="preserve">, i després crida el domini:</w:t>
      </w:r>
      <w:r>
        <w:t xml:space="preserve"> </w:t>
      </w:r>
      <w:r>
        <w:rPr>
          <w:rStyle w:val="VerbatimChar"/>
        </w:rPr>
        <w:t xml:space="preserve">portfolio.sell(ticker, quantity, price)</w:t>
      </w:r>
      <w:r>
        <w:t xml:space="preserve">. [pausa breu]</w:t>
      </w:r>
    </w:p>
    <w:p>
      <w:pPr>
        <w:pStyle w:val="BodyText"/>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BodyText"/>
      </w:pPr>
      <w:r>
        <w:t xml:space="preserve">Dit de manera sintètica: l’adaptador pot saber com obtenir un preu; no hauria de decidir com es ven una acció dins la cartera. [pausa]</w:t>
      </w:r>
    </w:p>
    <w:bookmarkEnd w:id="20"/>
    <w:bookmarkStart w:id="21" w:name="diapositiva-11.-demo---145"/>
    <w:p>
      <w:pPr>
        <w:pStyle w:val="Heading3"/>
      </w:pPr>
      <w:r>
        <w:t xml:space="preserve">Diapositiva 11. Demo - 1:45</w:t>
      </w:r>
    </w:p>
    <w:p>
      <w:pPr>
        <w:pStyle w:val="FirstParagraph"/>
      </w:pPr>
      <w:r>
        <w:t xml:space="preserve">La demo, en aquesta microlliçó,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 punt és especialment rellevant en docència. Permet fer proves sense dependre d’internet,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bookmarkEnd w:id="21"/>
    <w:bookmarkStart w:id="22" w:name="diapositiva-12.-agraïment---120"/>
    <w:p>
      <w:pPr>
        <w:pStyle w:val="Heading3"/>
      </w:pPr>
      <w:r>
        <w:t xml:space="preserve">Diapositiva 12. Agraïment - 1:20</w:t>
      </w:r>
    </w:p>
    <w:p>
      <w:pPr>
        <w:pStyle w:val="FirstParagraph"/>
      </w:pPr>
      <w:r>
        <w:t xml:space="preserve">Per tancar, voldria recuperar aquesta idea final. [pausa breu]</w:t>
      </w:r>
    </w:p>
    <w:p>
      <w:pPr>
        <w:pStyle w:val="BodyText"/>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BodyText"/>
      </w:pPr>
      <w:r>
        <w:t xml:space="preserve">Quan canvia un proveïdor, una API o una tecnologia, volem canviar l’adaptador. No volem reescriure el cas d’ús ni deformar el model de domini. [pausa]</w:t>
      </w:r>
    </w:p>
    <w:p>
      <w:pPr>
        <w:pStyle w:val="BodyText"/>
      </w:pPr>
      <w:r>
        <w:t xml:space="preserve">Vull expressar el meu agraïment al TecnoCampus per un entorn que m’encoratja a créixer, tant en la docència com en l’àmbit acadèmic, al costat d’un equip del qual aprenc i amb qui comparteixo coneixement, responsabilitat i compromís amb la formació universitària. [pausa breu; mirar el tribunal]</w:t>
      </w:r>
    </w:p>
    <w:p>
      <w:pPr>
        <w:pStyle w:val="BodyText"/>
      </w:pPr>
      <w:r>
        <w:t xml:space="preserve">També vull fer un agraïment especial al Dr. Josep Roure, company professor del TecnoCampus, amb qui he tingut l’oportunitat d’aprendre sobre arquitectura de software, metodologies actives d’aprenentatge i treball en equip. [mirada al tribunal]</w:t>
      </w:r>
    </w:p>
    <w:p>
      <w:pPr>
        <w:pStyle w:val="BodyText"/>
      </w:pPr>
      <w:r>
        <w:t xml:space="preserve">Moltes gràcies.</w:t>
      </w:r>
    </w:p>
    <w:bookmarkEnd w:id="22"/>
    <w:bookmarkEnd w:id="23"/>
    <w:bookmarkStart w:id="36" w:name="notes-del-presentador-per-diapositiva"/>
    <w:p>
      <w:pPr>
        <w:pStyle w:val="Heading2"/>
      </w:pPr>
      <w:r>
        <w:t xml:space="preserve">4. Notes del presentador per diapositiva</w:t>
      </w:r>
    </w:p>
    <w:bookmarkStart w:id="24" w:name="portada---145"/>
    <w:p>
      <w:pPr>
        <w:pStyle w:val="Heading3"/>
      </w:pPr>
      <w:r>
        <w:t xml:space="preserve">1. Portada - 1:45</w:t>
      </w:r>
    </w:p>
    <w:p>
      <w:pPr>
        <w:pStyle w:val="Compact"/>
        <w:numPr>
          <w:ilvl w:val="0"/>
          <w:numId w:val="1002"/>
        </w:numPr>
      </w:pPr>
      <w:r>
        <w:t xml:space="preserve">Microlliçó de DSI, no explicació completa d’arquitectura hexagonal.</w:t>
      </w:r>
    </w:p>
    <w:p>
      <w:pPr>
        <w:pStyle w:val="Compact"/>
        <w:numPr>
          <w:ilvl w:val="0"/>
          <w:numId w:val="1002"/>
        </w:numPr>
      </w:pPr>
      <w:r>
        <w:t xml:space="preserve">Informe AGAUR incorporat al tribunal: activitat real de 60 hores, maig-juliol 2025.</w:t>
      </w:r>
    </w:p>
    <w:p>
      <w:pPr>
        <w:pStyle w:val="Compact"/>
        <w:numPr>
          <w:ilvl w:val="0"/>
          <w:numId w:val="1002"/>
        </w:numPr>
      </w:pPr>
      <w:r>
        <w:t xml:space="preserve">Connexió: docència amb Dr. Josep Roure + consultoria en sistemes d’informació.</w:t>
      </w:r>
    </w:p>
    <w:p>
      <w:pPr>
        <w:pStyle w:val="Compact"/>
        <w:numPr>
          <w:ilvl w:val="0"/>
          <w:numId w:val="1002"/>
        </w:numPr>
      </w:pPr>
      <w:r>
        <w:t xml:space="preserve">No revelar dades internes; cas real com a base docent.</w:t>
      </w:r>
    </w:p>
    <w:p>
      <w:pPr>
        <w:pStyle w:val="Compact"/>
        <w:numPr>
          <w:ilvl w:val="0"/>
          <w:numId w:val="1002"/>
        </w:numPr>
      </w:pPr>
      <w:r>
        <w:t xml:space="preserve">Transició: ens centrarem en una decisió concreta, el port de sortida.</w:t>
      </w:r>
    </w:p>
    <w:bookmarkEnd w:id="24"/>
    <w:bookmarkStart w:id="25" w:name="on-som-dins-lassignatura---110"/>
    <w:p>
      <w:pPr>
        <w:pStyle w:val="Heading3"/>
      </w:pPr>
      <w:r>
        <w:t xml:space="preserve">2. On som dins l’assignatura - 1:10</w:t>
      </w:r>
    </w:p>
    <w:p>
      <w:pPr>
        <w:pStyle w:val="Compact"/>
        <w:numPr>
          <w:ilvl w:val="0"/>
          <w:numId w:val="1003"/>
        </w:numPr>
      </w:pPr>
      <w:r>
        <w:t xml:space="preserve">Pla docent: 3r curs, 6 ECTS, assignatura obligatòria.</w:t>
      </w:r>
    </w:p>
    <w:p>
      <w:pPr>
        <w:pStyle w:val="Compact"/>
        <w:numPr>
          <w:ilvl w:val="0"/>
          <w:numId w:val="1003"/>
        </w:numPr>
      </w:pPr>
      <w:r>
        <w:t xml:space="preserve">Bloc: clean/hexagonal, ports i adaptadors, mapping, mòduls, DDD.</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5"/>
    <w:bookmarkStart w:id="26" w:name="objectiu-de-la-sessió---055"/>
    <w:p>
      <w:pPr>
        <w:pStyle w:val="Heading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6"/>
    <w:bookmarkStart w:id="27" w:name="avaluació-econòmica---150"/>
    <w:p>
      <w:pPr>
        <w:pStyle w:val="Heading3"/>
      </w:pPr>
      <w:r>
        <w:t xml:space="preserve">4. Avaluació econòmica - 1:50</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7"/>
    <w:bookmarkStart w:id="28" w:name="informació-externa---200"/>
    <w:p>
      <w:pPr>
        <w:pStyle w:val="Heading3"/>
      </w:pPr>
      <w:r>
        <w:t xml:space="preserve">5. Informació externa - 2:00</w:t>
      </w:r>
    </w:p>
    <w:p>
      <w:pPr>
        <w:pStyle w:val="Compact"/>
        <w:numPr>
          <w:ilvl w:val="0"/>
          <w:numId w:val="1006"/>
        </w:numPr>
      </w:pPr>
      <w:r>
        <w:t xml:space="preserve">Necessitats: renda, patrimoni, béns immobles.</w:t>
      </w:r>
    </w:p>
    <w:p>
      <w:pPr>
        <w:pStyle w:val="Compact"/>
        <w:numPr>
          <w:ilvl w:val="0"/>
          <w:numId w:val="1006"/>
        </w:numPr>
      </w:pPr>
      <w:r>
        <w:t xml:space="preserve">Fonts: AEAT, Cadastre, PICA.</w:t>
      </w:r>
    </w:p>
    <w:p>
      <w:pPr>
        <w:pStyle w:val="Compact"/>
        <w:numPr>
          <w:ilvl w:val="0"/>
          <w:numId w:val="1006"/>
        </w:numPr>
      </w:pPr>
      <w:r>
        <w:t xml:space="preserve">PICA com a interoperabilitat administrativa.</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8"/>
    <w:bookmarkStart w:id="29" w:name="dependència-directa---210"/>
    <w:p>
      <w:pPr>
        <w:pStyle w:val="Heading3"/>
      </w:pPr>
      <w:r>
        <w:t xml:space="preserve">6. Dependència directa - 2:10</w:t>
      </w:r>
    </w:p>
    <w:p>
      <w:pPr>
        <w:pStyle w:val="Compact"/>
        <w:numPr>
          <w:ilvl w:val="0"/>
          <w:numId w:val="1007"/>
        </w:numPr>
      </w:pPr>
      <w:r>
        <w:t xml:space="preserve">El problema no és PICA; és l’acoblament directe.</w:t>
      </w:r>
    </w:p>
    <w:p>
      <w:pPr>
        <w:pStyle w:val="Compact"/>
        <w:numPr>
          <w:ilvl w:val="0"/>
          <w:numId w:val="1007"/>
        </w:numPr>
      </w:pPr>
      <w:r>
        <w:t xml:space="preserve">Cas d’ús coneix SOAP/XML, DTOs,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continuïtat operativa.</w:t>
      </w:r>
    </w:p>
    <w:p>
      <w:pPr>
        <w:pStyle w:val="Compact"/>
        <w:numPr>
          <w:ilvl w:val="0"/>
          <w:numId w:val="1007"/>
        </w:numPr>
      </w:pPr>
      <w:r>
        <w:t xml:space="preserve">Transició: resposta arquitectònica, port de sortida.</w:t>
      </w:r>
    </w:p>
    <w:bookmarkEnd w:id="29"/>
    <w:bookmarkStart w:id="30" w:name="port-i-adaptador---130"/>
    <w:p>
      <w:pPr>
        <w:pStyle w:val="Heading3"/>
      </w:pPr>
      <w:r>
        <w:t xml:space="preserve">7. Port i adaptador - 1:30</w:t>
      </w:r>
    </w:p>
    <w:p>
      <w:pPr>
        <w:pStyle w:val="Compact"/>
        <w:numPr>
          <w:ilvl w:val="0"/>
          <w:numId w:val="1008"/>
        </w:numPr>
      </w:pPr>
      <w:r>
        <w:t xml:space="preserve">Port = què necessita l’aplicació.</w:t>
      </w:r>
    </w:p>
    <w:p>
      <w:pPr>
        <w:pStyle w:val="Compact"/>
        <w:numPr>
          <w:ilvl w:val="0"/>
          <w:numId w:val="1008"/>
        </w:numPr>
      </w:pPr>
      <w:r>
        <w:t xml:space="preserve">Adaptador = com s’integra tècnicament.</w:t>
      </w:r>
    </w:p>
    <w:p>
      <w:pPr>
        <w:pStyle w:val="Compact"/>
        <w:numPr>
          <w:ilvl w:val="0"/>
          <w:numId w:val="1008"/>
        </w:numPr>
      </w:pPr>
      <w:r>
        <w:t xml:space="preserve">Distingir flux d’execució i dependència de codi.</w:t>
      </w:r>
    </w:p>
    <w:p>
      <w:pPr>
        <w:pStyle w:val="Compact"/>
        <w:numPr>
          <w:ilvl w:val="0"/>
          <w:numId w:val="1008"/>
        </w:numPr>
      </w:pPr>
      <w:r>
        <w:t xml:space="preserve">Inversió: adaptador implementa port; nucli no depèn d’adaptador.</w:t>
      </w:r>
    </w:p>
    <w:p>
      <w:pPr>
        <w:pStyle w:val="Compact"/>
        <w:numPr>
          <w:ilvl w:val="0"/>
          <w:numId w:val="1008"/>
        </w:numPr>
      </w:pPr>
      <w:r>
        <w:t xml:space="preserve">Transició: aplicar-ho al cas patrimonial.</w:t>
      </w:r>
    </w:p>
    <w:bookmarkEnd w:id="30"/>
    <w:bookmarkStart w:id="31" w:name="port-patrimonial---205"/>
    <w:p>
      <w:pPr>
        <w:pStyle w:val="Heading3"/>
      </w:pPr>
      <w:r>
        <w:t xml:space="preserve">8. Port patrimonial - 2:05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substituïbles.</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HexaStock.</w:t>
      </w:r>
    </w:p>
    <w:bookmarkEnd w:id="31"/>
    <w:bookmarkStart w:id="32" w:name="hexastock---145"/>
    <w:p>
      <w:pPr>
        <w:pStyle w:val="Heading3"/>
      </w:pPr>
      <w:r>
        <w:t xml:space="preserve">9. HexaStock - 1:45</w:t>
      </w:r>
    </w:p>
    <w:p>
      <w:pPr>
        <w:pStyle w:val="Compact"/>
        <w:numPr>
          <w:ilvl w:val="0"/>
          <w:numId w:val="1010"/>
        </w:numPr>
      </w:pPr>
      <w:r>
        <w:t xml:space="preserve">Domini financer: vendre accions.</w:t>
      </w:r>
    </w:p>
    <w:p>
      <w:pPr>
        <w:pStyle w:val="Compact"/>
        <w:numPr>
          <w:ilvl w:val="0"/>
          <w:numId w:val="1010"/>
        </w:numPr>
      </w:pPr>
      <w:r>
        <w:t xml:space="preserve">Necessitat: preu actual del ticker.</w:t>
      </w:r>
    </w:p>
    <w:p>
      <w:pPr>
        <w:pStyle w:val="Compact"/>
        <w:numPr>
          <w:ilvl w:val="0"/>
          <w:numId w:val="1010"/>
        </w:numPr>
      </w:pPr>
      <w:r>
        <w:t xml:space="preserve">Port:</w:t>
      </w:r>
      <w:r>
        <w:t xml:space="preserve"> </w:t>
      </w:r>
      <w:r>
        <w:rPr>
          <w:rStyle w:val="VerbatimChar"/>
        </w:rPr>
        <w:t xml:space="preserve">StockPriceProviderPort</w:t>
      </w:r>
      <w:r>
        <w:t xml:space="preserve">.</w:t>
      </w:r>
    </w:p>
    <w:p>
      <w:pPr>
        <w:pStyle w:val="Compact"/>
        <w:numPr>
          <w:ilvl w:val="0"/>
          <w:numId w:val="1010"/>
        </w:numPr>
      </w:pPr>
      <w:r>
        <w:t xml:space="preserve">Adaptadors: Finnhub, Alpha Vantage, mock.</w:t>
      </w:r>
    </w:p>
    <w:p>
      <w:pPr>
        <w:pStyle w:val="Compact"/>
        <w:numPr>
          <w:ilvl w:val="0"/>
          <w:numId w:val="1010"/>
        </w:numPr>
      </w:pPr>
      <w:r>
        <w:t xml:space="preserve">Transició: veure el flux i el codi essencial.</w:t>
      </w:r>
    </w:p>
    <w:bookmarkEnd w:id="32"/>
    <w:bookmarkStart w:id="33" w:name="flux-i-codi---145"/>
    <w:p>
      <w:pPr>
        <w:pStyle w:val="Heading3"/>
      </w:pPr>
      <w:r>
        <w:t xml:space="preserve">10. Flux i codi - 1:45</w:t>
      </w:r>
    </w:p>
    <w:p>
      <w:pPr>
        <w:pStyle w:val="Compact"/>
        <w:numPr>
          <w:ilvl w:val="0"/>
          <w:numId w:val="1011"/>
        </w:numPr>
      </w:pPr>
      <w:r>
        <w:t xml:space="preserve">Diagrama de seqüència = flux temporal, no dependència de codi.</w:t>
      </w:r>
    </w:p>
    <w:p>
      <w:pPr>
        <w:pStyle w:val="Compact"/>
        <w:numPr>
          <w:ilvl w:val="0"/>
          <w:numId w:val="1011"/>
        </w:numPr>
      </w:pPr>
      <w:r>
        <w:t xml:space="preserve">Controller -&gt; port d’entrada -&gt; servei.</w:t>
      </w:r>
    </w:p>
    <w:p>
      <w:pPr>
        <w:pStyle w:val="Compact"/>
        <w:numPr>
          <w:ilvl w:val="0"/>
          <w:numId w:val="1011"/>
        </w:numPr>
      </w:pPr>
      <w:r>
        <w:t xml:space="preserve">Servei consulta ports i delega venda al domini.</w:t>
      </w:r>
    </w:p>
    <w:p>
      <w:pPr>
        <w:pStyle w:val="Compact"/>
        <w:numPr>
          <w:ilvl w:val="0"/>
          <w:numId w:val="1011"/>
        </w:numPr>
      </w:pPr>
      <w:r>
        <w:t xml:space="preserve">Domini decideix; adaptador integra.</w:t>
      </w:r>
    </w:p>
    <w:p>
      <w:pPr>
        <w:pStyle w:val="Compact"/>
        <w:numPr>
          <w:ilvl w:val="0"/>
          <w:numId w:val="1011"/>
        </w:numPr>
      </w:pPr>
      <w:r>
        <w:t xml:space="preserve">Transició: demo controlada amb adaptador substituïble.</w:t>
      </w:r>
    </w:p>
    <w:bookmarkEnd w:id="33"/>
    <w:bookmarkStart w:id="34" w:name="demo---145"/>
    <w:p>
      <w:pPr>
        <w:pStyle w:val="Heading3"/>
      </w:pPr>
      <w:r>
        <w:t xml:space="preserve">11. Demo - 1:45</w:t>
      </w:r>
    </w:p>
    <w:p>
      <w:pPr>
        <w:pStyle w:val="Compact"/>
        <w:numPr>
          <w:ilvl w:val="0"/>
          <w:numId w:val="1012"/>
        </w:numPr>
      </w:pPr>
      <w:r>
        <w:t xml:space="preserve">Mateix cas d’ús, servei i domini.</w:t>
      </w:r>
    </w:p>
    <w:p>
      <w:pPr>
        <w:pStyle w:val="Compact"/>
        <w:numPr>
          <w:ilvl w:val="0"/>
          <w:numId w:val="1012"/>
        </w:numPr>
      </w:pPr>
      <w:r>
        <w:t xml:space="preserve">Canvia l’adaptador.</w:t>
      </w:r>
    </w:p>
    <w:p>
      <w:pPr>
        <w:pStyle w:val="Compact"/>
        <w:numPr>
          <w:ilvl w:val="0"/>
          <w:numId w:val="1012"/>
        </w:numPr>
      </w:pPr>
      <w:r>
        <w:t xml:space="preserve">Perfils: Finnhub, Alpha Vantage, mock.</w:t>
      </w:r>
    </w:p>
    <w:p>
      <w:pPr>
        <w:pStyle w:val="Compact"/>
        <w:numPr>
          <w:ilvl w:val="0"/>
          <w:numId w:val="1012"/>
        </w:numPr>
      </w:pPr>
      <w:r>
        <w:t xml:space="preserve">Utilitat docent: proves sense internet ni claus.</w:t>
      </w:r>
    </w:p>
    <w:p>
      <w:pPr>
        <w:pStyle w:val="Compact"/>
        <w:numPr>
          <w:ilvl w:val="0"/>
          <w:numId w:val="1012"/>
        </w:numPr>
      </w:pPr>
      <w:r>
        <w:t xml:space="preserve">Transició: conclusió final.</w:t>
      </w:r>
    </w:p>
    <w:bookmarkEnd w:id="34"/>
    <w:bookmarkStart w:id="35" w:name="agraïment---120"/>
    <w:p>
      <w:pPr>
        <w:pStyle w:val="Heading3"/>
      </w:pPr>
      <w:r>
        <w:t xml:space="preserve">12. Agraïment - 1:20</w:t>
      </w:r>
    </w:p>
    <w:p>
      <w:pPr>
        <w:pStyle w:val="Compact"/>
        <w:numPr>
          <w:ilvl w:val="0"/>
          <w:numId w:val="1013"/>
        </w:numPr>
      </w:pPr>
      <w:r>
        <w:t xml:space="preserve">Arquitectura no elimina canvi; el localitza.</w:t>
      </w:r>
    </w:p>
    <w:p>
      <w:pPr>
        <w:pStyle w:val="Compact"/>
        <w:numPr>
          <w:ilvl w:val="0"/>
          <w:numId w:val="1013"/>
        </w:numPr>
      </w:pPr>
      <w:r>
        <w:t xml:space="preserve">Canviar adaptador, no cas d’ús ni domini.</w:t>
      </w:r>
    </w:p>
    <w:p>
      <w:pPr>
        <w:pStyle w:val="Compact"/>
        <w:numPr>
          <w:ilvl w:val="0"/>
          <w:numId w:val="1013"/>
        </w:numPr>
      </w:pPr>
      <w:r>
        <w:t xml:space="preserve">Agraïment TecnoCampus.</w:t>
      </w:r>
    </w:p>
    <w:p>
      <w:pPr>
        <w:pStyle w:val="Compact"/>
        <w:numPr>
          <w:ilvl w:val="0"/>
          <w:numId w:val="1013"/>
        </w:numPr>
      </w:pPr>
      <w:r>
        <w:t xml:space="preserve">Agraïment Dr. Josep Roure.</w:t>
      </w:r>
    </w:p>
    <w:p>
      <w:pPr>
        <w:pStyle w:val="Compact"/>
        <w:numPr>
          <w:ilvl w:val="0"/>
          <w:numId w:val="1013"/>
        </w:numPr>
      </w:pPr>
      <w:r>
        <w:t xml:space="preserve">Tancar mirant el tribunal:</w:t>
      </w:r>
      <w:r>
        <w:t xml:space="preserve"> </w:t>
      </w:r>
      <w:r>
        <w:rPr>
          <w:rStyle w:val="VerbatimChar"/>
        </w:rPr>
        <w:t xml:space="preserve">Moltes gràcies</w:t>
      </w:r>
      <w:r>
        <w:t xml:space="preserve">.</w:t>
      </w:r>
    </w:p>
    <w:bookmarkEnd w:id="35"/>
    <w:bookmarkEnd w:id="36"/>
    <w:bookmarkStart w:id="37" w:name="esquema-de-memorització"/>
    <w:p>
      <w:pPr>
        <w:pStyle w:val="Heading2"/>
      </w:pPr>
      <w:r>
        <w:t xml:space="preserve">5. Esquema de memorització</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microlliçó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Inversió de dependències</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 HexaStock</w:t>
            </w:r>
          </w:p>
        </w:tc>
      </w:tr>
      <w:tr>
        <w:tc>
          <w:tcPr/>
          <w:p>
            <w:pPr>
              <w:pStyle w:val="Compact"/>
            </w:pPr>
            <w:r>
              <w:t xml:space="preserve">9</w:t>
            </w:r>
          </w:p>
        </w:tc>
        <w:tc>
          <w:tcPr/>
          <w:p>
            <w:pPr>
              <w:pStyle w:val="Compact"/>
            </w:pPr>
            <w:r>
              <w:t xml:space="preserve">Mateix patró en domini financer</w:t>
            </w:r>
          </w:p>
        </w:tc>
        <w:tc>
          <w:tcPr/>
          <w:p>
            <w:pPr>
              <w:pStyle w:val="Compact"/>
            </w:pPr>
            <w:r>
              <w:rPr>
                <w:rStyle w:val="VerbatimChar"/>
              </w:rPr>
              <w:t xml:space="preserve">StockPriceProviderPort</w:t>
            </w:r>
          </w:p>
        </w:tc>
        <w:tc>
          <w:tcPr/>
          <w:p>
            <w:pPr>
              <w:pStyle w:val="Compact"/>
            </w:pPr>
            <w:r>
              <w:t xml:space="preserve">Cas AGAUR</w:t>
            </w:r>
          </w:p>
        </w:tc>
        <w:tc>
          <w:tcPr/>
          <w:p>
            <w:pPr>
              <w:pStyle w:val="Compact"/>
            </w:pPr>
            <w:r>
              <w:t xml:space="preserve">Flux temporal</w:t>
            </w:r>
          </w:p>
        </w:tc>
      </w:tr>
      <w:tr>
        <w:tc>
          <w:tcPr/>
          <w:p>
            <w:pPr>
              <w:pStyle w:val="Compact"/>
            </w:pPr>
            <w:r>
              <w:t xml:space="preserve">10</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Diagrama HexaStock</w:t>
            </w:r>
          </w:p>
        </w:tc>
        <w:tc>
          <w:tcPr/>
          <w:p>
            <w:pPr>
              <w:pStyle w:val="Compact"/>
            </w:pPr>
            <w:r>
              <w:t xml:space="preserve">Demo</w:t>
            </w:r>
          </w:p>
        </w:tc>
      </w:tr>
      <w:tr>
        <w:tc>
          <w:tcPr/>
          <w:p>
            <w:pPr>
              <w:pStyle w:val="Compact"/>
            </w:pPr>
            <w:r>
              <w:t xml:space="preserve">11</w:t>
            </w:r>
          </w:p>
        </w:tc>
        <w:tc>
          <w:tcPr/>
          <w:p>
            <w:pPr>
              <w:pStyle w:val="Compact"/>
            </w:pPr>
            <w:r>
              <w:t xml:space="preserve">Canvia infraestructura, no cas d’ús</w:t>
            </w:r>
          </w:p>
        </w:tc>
        <w:tc>
          <w:tcPr/>
          <w:p>
            <w:pPr>
              <w:pStyle w:val="Compact"/>
            </w:pPr>
            <w:r>
              <w:t xml:space="preserve">Adaptador substituïble</w:t>
            </w:r>
          </w:p>
        </w:tc>
        <w:tc>
          <w:tcPr/>
          <w:p>
            <w:pPr>
              <w:pStyle w:val="Compact"/>
            </w:pPr>
            <w:r>
              <w:t xml:space="preserve">Flux</w:t>
            </w:r>
          </w:p>
        </w:tc>
        <w:tc>
          <w:tcPr/>
          <w:p>
            <w:pPr>
              <w:pStyle w:val="Compact"/>
            </w:pPr>
            <w:r>
              <w:t xml:space="preserve">Conclusió</w:t>
            </w:r>
          </w:p>
        </w:tc>
      </w:tr>
      <w:tr>
        <w:tc>
          <w:tcPr/>
          <w:p>
            <w:pPr>
              <w:pStyle w:val="Compact"/>
            </w:pPr>
            <w:r>
              <w:t xml:space="preserve">12</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Demo</w:t>
            </w:r>
          </w:p>
        </w:tc>
        <w:tc>
          <w:tcPr/>
          <w:p>
            <w:pPr>
              <w:pStyle w:val="Compact"/>
            </w:pPr>
            <w:r>
              <w:t xml:space="preserve">Tancament</w:t>
            </w:r>
          </w:p>
        </w:tc>
      </w:tr>
    </w:tbl>
    <w:p>
      <w:pPr>
        <w:pStyle w:val="BodyText"/>
      </w:pPr>
      <w:r>
        <w:t xml:space="preserve">Mantra de memòria:</w:t>
      </w:r>
      <w:r>
        <w:t xml:space="preserve"> </w:t>
      </w:r>
      <w:r>
        <w:rPr>
          <w:rStyle w:val="VerbatimChar"/>
        </w:rPr>
        <w:t xml:space="preserve">context -&gt; assignatura -&gt; objectiu breu -&gt; procediment -&gt; dada externa -&gt; acoblament -&gt; port -&gt; AGAUR -&gt; HexaStock -&gt; flux -&gt; demo -&gt; conclusió</w:t>
      </w:r>
      <w:r>
        <w:t xml:space="preserve">.</w:t>
      </w:r>
    </w:p>
    <w:bookmarkEnd w:id="37"/>
    <w:bookmarkStart w:id="38" w:name="pla-dentrenament-comunicatiu"/>
    <w:p>
      <w:pPr>
        <w:pStyle w:val="Heading2"/>
      </w:pPr>
      <w:r>
        <w:t xml:space="preserve">6. Pla d’entrenament comunicatiu</w:t>
      </w:r>
    </w:p>
    <w:p>
      <w:pPr>
        <w:pStyle w:val="FirstParagraph"/>
      </w:pPr>
      <w:r>
        <w:rPr>
          <w:b/>
          <w:bCs/>
        </w:rPr>
        <w:t xml:space="preserve">Entrenament inicial</w:t>
      </w:r>
    </w:p>
    <w:p>
      <w:pPr>
        <w:pStyle w:val="BodyText"/>
      </w:pPr>
      <w:r>
        <w:t xml:space="preserve">Llegeix el guió complet en veu alta dues vegades sense cronòmetre. L’objectiu no és memoritzar, sinó detectar frases que no sonen naturals. Marca amb llapis les frases que vols dir exactament igual: la definició inicial, la distinció entre flux i dependència, i la conclusió final. La resta pot ser més flexible.</w:t>
      </w:r>
    </w:p>
    <w:p>
      <w:pPr>
        <w:pStyle w:val="BodyText"/>
      </w:pPr>
      <w:r>
        <w:t xml:space="preserve">Després fes una lectura cronometrada. Ritme orientatiu: 125-135 paraules per minut, amb pauses reals. Si surt per sobre de 22 minuts, retalla exemples; si surt per sota de 18:30, no afegeixis contingut tècnic, amplia pauses i transicions.</w:t>
      </w:r>
    </w:p>
    <w:p>
      <w:pPr>
        <w:pStyle w:val="BodyText"/>
      </w:pPr>
      <w:r>
        <w:rPr>
          <w:b/>
          <w:bCs/>
        </w:rPr>
        <w:t xml:space="preserve">Entrenament intermedi</w:t>
      </w:r>
    </w:p>
    <w:p>
      <w:pPr>
        <w:pStyle w:val="BodyText"/>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9-12, HexaStock, flux, demo i tancament.</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p>
      <w:pPr>
        <w:pStyle w:val="BodyText"/>
      </w:pPr>
      <w:r>
        <w:rPr>
          <w:b/>
          <w:bCs/>
        </w:rPr>
        <w:t xml:space="preserve">Assaig final</w:t>
      </w:r>
    </w:p>
    <w:p>
      <w:pPr>
        <w:pStyle w:val="BodyText"/>
      </w:pPr>
      <w:r>
        <w:t xml:space="preserve">Fes com a mínim tres passades completes:</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rPr>
          <w:b/>
          <w:bCs/>
        </w:rPr>
        <w:t xml:space="preserve">Ritme, veu i cos</w:t>
      </w:r>
    </w:p>
    <w:p>
      <w:pPr>
        <w:pStyle w:val="BodyText"/>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bookmarkEnd w:id="38"/>
    <w:bookmarkStart w:id="39" w:name="advertiments-finals"/>
    <w:p>
      <w:pPr>
        <w:pStyle w:val="Heading2"/>
      </w:pPr>
      <w:r>
        <w:t xml:space="preserve">7. Advertiments finals</w:t>
      </w:r>
    </w:p>
    <w:p>
      <w:pPr>
        <w:pStyle w:val="FirstParagraph"/>
      </w:pPr>
      <w:r>
        <w:t xml:space="preserve">Risc de temps: les diapositives 4-10 poden allargar-se fàcilment. Si vas tard, no retallis la conclusió; retalla detall del cas AGAUR i de la demo.</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documental: el pla docent oficial diu que la llengua de docència és l’anglès. Si surt la pregunta, la resposta prudent és que la defensa és en català i que la microlliçó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2026-06-30T22:04:46Z</dcterms:created>
  <dcterms:modified xsi:type="dcterms:W3CDTF">2026-06-30T22:04:46Z</dcterms:modified>
</cp:coreProperties>
</file>

<file path=docProps/custom.xml><?xml version="1.0" encoding="utf-8"?>
<Properties xmlns="http://schemas.openxmlformats.org/officeDocument/2006/custom-properties" xmlns:vt="http://schemas.openxmlformats.org/officeDocument/2006/docPropsVTypes"/>
</file>