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urn:schemas-microsoft-com:vml" xmlns:ns2="urn:schemas-microsoft-com:office:office" xmlns:w="http://schemas.openxmlformats.org/wordprocessingml/2006/main">
  <w:body>
    <w:bookmarkStart w:id="43" w:name="X79cee1dd7752e91aad864bc270c2d5ac95f00d7"/>
    <w:p>
      <w:pPr>
        <w:pStyle w:val="Heading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BodyText"/>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ns1:rect style="width:0;height:1.5pt" ns2:hralign="center" ns2:hrstd="t" ns2:hr="t"/>
        </w:pict>
      </w:r>
    </w:p>
    <w:bookmarkStart w:id="20" w:name="guió-oral-complet-imprimible"/>
    <w:p>
      <w:pPr>
        <w:pStyle w:val="Heading2"/>
      </w:pPr>
      <w:r>
        <w:t xml:space="preserve">1. Guió oral complet imprimible</w:t>
      </w:r>
    </w:p>
    <w:p>
      <w:pPr>
        <w:pStyle w:val="FirstParagraph"/>
      </w:pPr>
      <w:r>
        <w:t xml:space="preserve">Temps total previst del cos principal: 20:00 aproximadament, sense demo en viu.</w:t>
      </w:r>
    </w:p>
    <w:p>
      <w:pPr>
        <w:pStyle w:val="BodyText"/>
      </w:pPr>
      <w:r>
        <w:t xml:space="preserve">La demo no forma part del temps canònic de la classe. S’ha de considerar un annex opcional posterior al tancament.</w:t>
      </w:r>
    </w:p>
    <w:bookmarkStart w:id="9" w:name="diapositiva-1.-portada---135"/>
    <w:p>
      <w:pPr>
        <w:pStyle w:val="Heading3"/>
      </w:pPr>
      <w:r>
        <w:t xml:space="preserve">Diapositiva 1. Portada - 1:35</w:t>
      </w:r>
    </w:p>
    <w:p>
      <w:pPr>
        <w:pStyle w:val="FirstParagraph"/>
      </w:pPr>
      <w:r>
        <w:t xml:space="preserve">Bon dia, membres del tribunal. [pausa breu, mirada al tribunal]</w:t>
      </w:r>
    </w:p>
    <w:p>
      <w:pPr>
        <w:pStyle w:val="BodyText"/>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BodyText"/>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BodyText"/>
      </w:pPr>
      <w:r>
        <w:t xml:space="preserve">Ho explico perquè em semblava molt enriquidor plantejar aquesta sessió com una trobada entre dues dimensions.</w:t>
      </w:r>
    </w:p>
    <w:p>
      <w:pPr>
        <w:pStyle w:val="BodyText"/>
      </w:pPr>
      <w:r>
        <w:t xml:space="preserve">D’una banda, la dimensió acadèmica: l’assignatura de Disseny de Sistemes d’Informació, on treballem conceptes com arquitectura hexagonal, ports, adaptadors i inversió de dependències.</w:t>
      </w:r>
    </w:p>
    <w:p>
      <w:pPr>
        <w:pStyle w:val="BodyText"/>
      </w:pPr>
      <w:r>
        <w:t xml:space="preserve">I de l’altra, la dimensió professional: un cas real que ens permet veure com aquests conceptes s’aterren en reptes concrets d’arquitectura de software. [mirada al tribunal]</w:t>
      </w:r>
    </w:p>
    <w:p>
      <w:pPr>
        <w:pStyle w:val="BodyText"/>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Heading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BodyText"/>
      </w:pPr>
      <w:r>
        <w:t xml:space="preserve">El pla docent de l’assignatura explica que s’hi treballa una visió global d’arquitectures de sistemes d’informació: arquitectures per capes, arquitectures hexagonals i arquitectures basades en microserveis. Dins el bloc d’arquitectures hexagonals hi apareixen explícitament ports i adaptadors. [to calmat, explicatiu]</w:t>
      </w:r>
    </w:p>
    <w:p>
      <w:pPr>
        <w:pStyle w:val="BodyText"/>
      </w:pPr>
      <w:r>
        <w:t xml:space="preserve">Per tant, aquesta no és una sessió afegida artificialment al temari. És una classe versemblant dins l’assignatura. [pausa breu]</w:t>
      </w:r>
    </w:p>
    <w:bookmarkEnd w:id="10"/>
    <w:bookmarkStart w:id="11" w:name="X3696606fd6d9b6d83d02a9073392ba28f4d25a2"/>
    <w:p>
      <w:pPr>
        <w:pStyle w:val="Heading3"/>
      </w:pPr>
      <w:r>
        <w:t xml:space="preserve">Diapositiva 3. Objectiu de la sessió - 0:55</w:t>
      </w:r>
    </w:p>
    <w:p>
      <w:pPr>
        <w:pStyle w:val="FirstParagraph"/>
      </w:pPr>
      <w:r>
        <w:t xml:space="preserve">Abans d’entrar en el cas, deixo formulat l’objectiu de la sessió. [pausa breu]</w:t>
      </w:r>
    </w:p>
    <w:p>
      <w:pPr>
        <w:pStyle w:val="BodyText"/>
      </w:pPr>
      <w:r>
        <w:t xml:space="preserve">El principi de treball és aquest: el cas d’ús necessita una capacitat, no una tecnologia. [mirar el tribunal]</w:t>
      </w:r>
    </w:p>
    <w:p>
      <w:pPr>
        <w:pStyle w:val="BodyText"/>
      </w:pPr>
      <w:r>
        <w:t xml:space="preserve">Per tant, el que aprendrem és a fer tres operacions: identificar una necessitat externa del cas d’ús, expressar-la com a port de sortida i implementar-la mitjançant adaptadors substituïbles. [assenyalar les tres caixes]</w:t>
      </w:r>
    </w:p>
    <w:p>
      <w:pPr>
        <w:pStyle w:val="BodyText"/>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Heading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BodyText"/>
      </w:pPr>
      <w:r>
        <w:t xml:space="preserve">En un procediment de beca, una sol·licitud dona lloc a un expedient. Aquest expedient passa per diferents fases: requisits generals, requisits econòmics, revisió acadèmica i resolució. [assenyalar la seqüència de la dreta]</w:t>
      </w:r>
    </w:p>
    <w:p>
      <w:pPr>
        <w:pStyle w:val="BodyText"/>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BodyText"/>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BodyText"/>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aefc5253d1fb734b44ed8eafed0859cae3b4679"/>
    <w:p>
      <w:pPr>
        <w:pStyle w:val="Heading3"/>
      </w:pPr>
      <w:r>
        <w:t xml:space="preserve">Diapositiva 5.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BodyText"/>
      </w:pPr>
      <w:r>
        <w:t xml:space="preserve">En termes funcionals, podem parlar de renda familiar, patrimoni i béns immobles. En termes de fonts administratives, apareixen organismes i plataformes com l’AEAT, el Cadastre i PICA. [assenyalar la columna de fonts]</w:t>
      </w:r>
    </w:p>
    <w:p>
      <w:pPr>
        <w:pStyle w:val="BodyText"/>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BodyText"/>
      </w:pPr>
      <w:r>
        <w:t xml:space="preserve">La distinció clau és aquesta: el procediment necessita informació administrativa; no necessita, en el seu llenguatge propi, una API concreta. [pausa llarga; mirar el tribunal]</w:t>
      </w:r>
    </w:p>
    <w:p>
      <w:pPr>
        <w:pStyle w:val="BodyText"/>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BodyText"/>
      </w:pPr>
      <w:r>
        <w:t xml:space="preserve">El cas d’ús hauria de poder formular-se així:</w:t>
      </w:r>
      <w:r>
        <w:t xml:space="preserve"> </w:t>
      </w:r>
      <w:r>
        <w:rPr>
          <w:rStyle w:val="VerbatimChar"/>
        </w:rPr>
        <w:t xml:space="preserve">necessito informació patrimonial avaluable</w:t>
      </w:r>
      <w:r>
        <w:t xml:space="preserve">. Encara no estem decidint si aquesta informació arribarà a través de PICA, d’un servei SOAP, d’una API REST, d’una base de dades corporativa o d’un altre mecanisme futur.</w:t>
      </w:r>
    </w:p>
    <w:p>
      <w:pPr>
        <w:pStyle w:val="BodyText"/>
      </w:pPr>
      <w:r>
        <w:t xml:space="preserve">Quan aquesta separació no es respecta, apareix el problema arquitectònic que veurem ara.</w:t>
      </w:r>
    </w:p>
    <w:bookmarkEnd w:id="13"/>
    <w:bookmarkStart w:id="14" w:name="Xe7b448d2a3a0863eade31fe1550722061691316"/>
    <w:p>
      <w:pPr>
        <w:pStyle w:val="Heading3"/>
      </w:pPr>
      <w:r>
        <w:t xml:space="preserve">Diapositiva 6. Dependència directa entre procediment i integració - 2:05</w:t>
      </w:r>
    </w:p>
    <w:p>
      <w:pPr>
        <w:pStyle w:val="FirstParagraph"/>
      </w:pPr>
      <w:r>
        <w:t xml:space="preserve">Imaginem una situació en què el cas d’ús queda vinculat directament a la cadena tècnica: SOAP/XML, PICA, AEAT o Cadastre. [assenyalar la cadena central]</w:t>
      </w:r>
    </w:p>
    <w:p>
      <w:pPr>
        <w:pStyle w:val="BodyText"/>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BodyText"/>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BodyText"/>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BodyText"/>
      </w:pPr>
      <w:r>
        <w:t xml:space="preserve">La pregunta docent, per tant, és: com podem permetre que el cas d’ús necessiti dades externes, però sense dependre directament de la tecnologia que les proporciona?</w:t>
      </w:r>
    </w:p>
    <w:p>
      <w:pPr>
        <w:pStyle w:val="BodyText"/>
      </w:pPr>
      <w:r>
        <w:t xml:space="preserve">La resposta és introduir un port de sortida.</w:t>
      </w:r>
    </w:p>
    <w:bookmarkEnd w:id="14"/>
    <w:bookmarkStart w:id="15" w:name="Xa64d3085c9800517858e9bbb9c52cb4bb4814e5"/>
    <w:p>
      <w:pPr>
        <w:pStyle w:val="Heading3"/>
      </w:pPr>
      <w:r>
        <w:t xml:space="preserve">Diapositiva 7. Port de sortida i adaptador - 2:20</w:t>
      </w:r>
    </w:p>
    <w:p>
      <w:pPr>
        <w:pStyle w:val="FirstParagraph"/>
      </w:pPr>
      <w:r>
        <w:t xml:space="preserve">Abans d’aplicar-ho al cas patrimonial, fixem una distinció important.</w:t>
      </w:r>
    </w:p>
    <w:p>
      <w:pPr>
        <w:pStyle w:val="BodyText"/>
      </w:pPr>
      <w:r>
        <w:t xml:space="preserve">Una cosa és el flux d’execució: el cas d’ús demana una informació i aquesta informació pot acabar venint d’un sistema extern.</w:t>
      </w:r>
      <w:r>
        <w:t xml:space="preserve"> </w:t>
      </w:r>
      <w:r>
        <w:t xml:space="preserve">[assenyalar la primera línia]</w:t>
      </w:r>
    </w:p>
    <w:p>
      <w:pPr>
        <w:pStyle w:val="BodyText"/>
      </w:pPr>
      <w:r>
        <w:t xml:space="preserve">Una altra cosa és la dependència de codi: el cas d’ús depèn del port, i l’adaptador implementa aquest port.</w:t>
      </w:r>
      <w:r>
        <w:t xml:space="preserve"> </w:t>
      </w:r>
      <w:r>
        <w:t xml:space="preserve">[assenyalar la segona línia]</w:t>
      </w:r>
    </w:p>
    <w:p>
      <w:pPr>
        <w:pStyle w:val="BodyText"/>
      </w:pPr>
      <w:r>
        <w:t xml:space="preserve">Per situar bé el concepte, quan aquí parlem d’un port no estem parlant d’un element físic ni d’un detall d’infraestructura. En termes de Java, aquest port s’expressa com una interfície.</w:t>
      </w:r>
    </w:p>
    <w:p>
      <w:pPr>
        <w:pStyle w:val="BodyText"/>
      </w:pPr>
      <w:r>
        <w:t xml:space="preserve">És a dir, el cas d’ús no depèn directament d’una base de dades, d’una API externa o d’un client concret. El cas d’ús depèn d’una interfície que defineix què necessita: per exemple, obtenir una determinada informació, consultar un expedient o recuperar unes dades administratives.</w:t>
      </w:r>
    </w:p>
    <w:p>
      <w:pPr>
        <w:pStyle w:val="BodyText"/>
      </w:pPr>
      <w:r>
        <w:t xml:space="preserve">Després, l’adaptador és la peça que implementa aquesta interfície i sap com anar realment a buscar aquella informació al sistema extern corresponent.</w:t>
      </w:r>
    </w:p>
    <w:p>
      <w:pPr>
        <w:pStyle w:val="BodyText"/>
      </w:pPr>
      <w:r>
        <w:t xml:space="preserve">Això ens ajuda a entendre el valor arquitectònic de la interfície. Una interfície és una eina d’enginyeria que permet comunicar components sense acoblar-los directament entre ells. Defineix un contracte estable: què es necessita i què es retorna, però sense obligar el cas d’ús a conèixer com es resol tècnicament aquesta necessitat.</w:t>
      </w:r>
    </w:p>
    <w:p>
      <w:pPr>
        <w:pStyle w:val="BodyText"/>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BodyText"/>
      </w:pPr>
      <w:r>
        <w:t xml:space="preserve">Aquesta és la inversió de dependències: la infraestructura depèn del port definit per l’aplicació, no a l’inrevés.</w:t>
      </w:r>
      <w:r>
        <w:t xml:space="preserve"> </w:t>
      </w:r>
      <w:r>
        <w:t xml:space="preserve">[mirada al tribunal]</w:t>
      </w:r>
    </w:p>
    <w:p>
      <w:pPr>
        <w:pStyle w:val="BodyText"/>
      </w:pPr>
      <w:r>
        <w:t xml:space="preserve">Amb aquesta idea clara, ara podem portar el patró al cas administratiu.</w:t>
      </w:r>
    </w:p>
    <w:bookmarkEnd w:id="15"/>
    <w:bookmarkStart w:id="16" w:name="X02f5972dd1f8fa5236a8ff5f76fd6d012a2d0ed"/>
    <w:p>
      <w:pPr>
        <w:pStyle w:val="Heading3"/>
      </w:pPr>
      <w:r>
        <w:t xml:space="preserve">Diapositiva 8. Port de sortida per a informació patrimonial - 1:55</w:t>
      </w:r>
    </w:p>
    <w:p>
      <w:pPr>
        <w:pStyle w:val="FirstParagraph"/>
      </w:pPr>
      <w:r>
        <w:t xml:space="preserve">Portem aquesta idea al cas administratiu. [assenyalar el diagrama]</w:t>
      </w:r>
    </w:p>
    <w:p>
      <w:pPr>
        <w:pStyle w:val="BodyText"/>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BodyText"/>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BodyText"/>
      </w:pPr>
      <w:r>
        <w:t xml:space="preserve">El punt tècnic més important és que l’adaptador de PICA o l’adaptador JDBC no són el centre de l’arquitectura. Són substituïbles. El que és estable és el contracte que el cas d’ús necessita. [pausa breu]</w:t>
      </w:r>
    </w:p>
    <w:p>
      <w:pPr>
        <w:pStyle w:val="BodyText"/>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BodyText"/>
      </w:pPr>
      <w:r>
        <w:t xml:space="preserve">Aquesta mateixa estructura la podem transferir ara a un domini diferent: una aplicació de gestió d’una cartera d’inversió personal.</w:t>
      </w:r>
    </w:p>
    <w:bookmarkEnd w:id="16"/>
    <w:bookmarkStart w:id="17" w:name="X78fc559941333af28916ea4cd4e8a03bf048adf"/>
    <w:p>
      <w:pPr>
        <w:pStyle w:val="Heading3"/>
      </w:pPr>
      <w:r>
        <w:t xml:space="preserve">Diapositiva 9. Transferència a domini financer - 1:35</w:t>
      </w:r>
    </w:p>
    <w:p>
      <w:pPr>
        <w:pStyle w:val="FirstParagraph"/>
      </w:pPr>
      <w:r>
        <w:t xml:space="preserve">Ara fem un canvi de domini. Ja no parlem d’una sol·licitud de beca, sinó d’una aplicació de gestió d’una cartera d’inversió personal. [assenyalar el títol]</w:t>
      </w:r>
    </w:p>
    <w:p>
      <w:pPr>
        <w:pStyle w:val="BodyText"/>
      </w:pPr>
      <w:r>
        <w:t xml:space="preserve">El diagrama que veiem correspon a HexaStock. Ara, però, no em centraré en els noms concrets; el que m’interessa és reconèixer el mateix patró: cas d’ús, port de sortida i adaptadors substituïbles.</w:t>
      </w:r>
    </w:p>
    <w:p>
      <w:pPr>
        <w:pStyle w:val="BodyText"/>
      </w:pPr>
      <w:r>
        <w:t xml:space="preserve">Imaginem un cas d’ús molt concret: vendre accions d’una cartera. Per executar aquesta operació correctament, l’aplicació pot necessitar consultar el preu actual de l’acció que l’usuari vol vendre.</w:t>
      </w:r>
    </w:p>
    <w:p>
      <w:pPr>
        <w:pStyle w:val="BodyText"/>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BodyText"/>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BodyText"/>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BodyText"/>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BodyText"/>
      </w:pPr>
      <w:r>
        <w:t xml:space="preserve">Per tant, el missatge docent és transferible: primer identifiquem la necessitat funcional; després definim el port; finalment implementem adaptadors.</w:t>
      </w:r>
    </w:p>
    <w:bookmarkEnd w:id="17"/>
    <w:bookmarkStart w:id="18" w:name="Xbfe6b0fd34b3c609a21e8adce1ae4f130898e4d"/>
    <w:p>
      <w:pPr>
        <w:pStyle w:val="Heading3"/>
      </w:pPr>
      <w:r>
        <w:t xml:space="preserve">Diapositiva 10. Flux i codi essencial - 1:35</w:t>
      </w:r>
    </w:p>
    <w:p>
      <w:pPr>
        <w:pStyle w:val="FirstParagraph"/>
      </w:pPr>
      <w:r>
        <w:t xml:space="preserve">A partir d’aquí ja podem baixar al projecte concret HexaStock. Aquesta diapositiva mostra el flux temporal del cas d’ús de venda. [assenyalar el diagrama de seqüència]</w:t>
      </w:r>
    </w:p>
    <w:p>
      <w:pPr>
        <w:pStyle w:val="BodyText"/>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BodyText"/>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BodyText"/>
      </w:pPr>
      <w:r>
        <w:t xml:space="preserve">Dit de manera sintètica: l’adaptador pot saber com obtenir un preu; no hauria de decidir com es ven una acció dins la cartera. [pausa]</w:t>
      </w:r>
    </w:p>
    <w:p>
      <w:pPr>
        <w:pStyle w:val="BodyText"/>
      </w:pPr>
      <w:r>
        <w:t xml:space="preserve">Aquesta idea ens porta al tancament: l’arquitectura no elimina la dependència respecte del món exterior, però sí que ens ajuda a ubicar-la en una frontera explícita.</w:t>
      </w:r>
    </w:p>
    <w:bookmarkEnd w:id="18"/>
    <w:bookmarkStart w:id="19" w:name="diapositiva-11.-agraïment---140"/>
    <w:p>
      <w:pPr>
        <w:pStyle w:val="Heading3"/>
      </w:pPr>
      <w:r>
        <w:t xml:space="preserve">Diapositiva 11. Agraïment - 1:40</w:t>
      </w:r>
    </w:p>
    <w:p>
      <w:pPr>
        <w:pStyle w:val="FirstParagraph"/>
      </w:pPr>
      <w:r>
        <w:t xml:space="preserve">Per tancar, voldria recuperar aquesta idea final. [pausa breu]</w:t>
      </w:r>
    </w:p>
    <w:p>
      <w:pPr>
        <w:pStyle w:val="BodyText"/>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BodyText"/>
      </w:pPr>
      <w:r>
        <w:t xml:space="preserve">Quan canvia un proveïdor, una API o una tecnologia, volem canviar l’adaptador. No volem reescriure el cas d’ús ni deformar el model de domini. [pausa]</w:t>
      </w:r>
    </w:p>
    <w:p>
      <w:pPr>
        <w:pStyle w:val="BodyText"/>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BodyText"/>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BodyText"/>
      </w:pPr>
      <w:r>
        <w:t xml:space="preserve">Moltes gràcies.</w:t>
      </w:r>
    </w:p>
    <w:p>
      <w:r>
        <w:pict>
          <ns1:rect style="width:0;height:1.5pt" ns2:hralign="center" ns2:hrstd="t" ns2:hr="t"/>
        </w:pict>
      </w:r>
    </w:p>
    <w:bookmarkEnd w:id="19"/>
    <w:bookmarkEnd w:id="20"/>
    <w:bookmarkStart w:id="22" w:name="annex-a.-demo-opcional"/>
    <w:p>
      <w:pPr>
        <w:pStyle w:val="Heading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Heading3"/>
      </w:pPr>
      <w:r>
        <w:t xml:space="preserve">Annex A. Demo opcional - 1:30 a 2:30</w:t>
      </w:r>
    </w:p>
    <w:p>
      <w:pPr>
        <w:pStyle w:val="FirstParagraph"/>
      </w:pPr>
      <w:r>
        <w:t xml:space="preserve">Si es vol veure la translació pràctica d’aquesta idea, tinc preparada una demo molt breu amb HexaStock.</w:t>
      </w:r>
    </w:p>
    <w:p>
      <w:pPr>
        <w:pStyle w:val="BodyText"/>
      </w:pPr>
      <w:r>
        <w:t xml:space="preserve">La demo no pretén impressionar per complexitat tècnica. Té una funció docent molt concreta: mostrar que podem mantenir el mateix cas d’ús, el mateix servei d’aplicació i el mateix domini, canviant només l’adaptador. [assenyalar les three caixes]</w:t>
      </w:r>
    </w:p>
    <w:p>
      <w:pPr>
        <w:pStyle w:val="BodyText"/>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BodyText"/>
      </w:pPr>
      <w:r>
        <w:t xml:space="preserve">Aquests noms són implementacions concretes. El que vull que observeu és que el contracte que veu el cas d’ús no canvia.</w:t>
      </w:r>
    </w:p>
    <w:p>
      <w:pPr>
        <w:pStyle w:val="BodyText"/>
      </w:pPr>
      <w:r>
        <w:t xml:space="preserve">Aquest punt és especialment rellevant en docència. Permet fer proves amb un adaptador mock, sense claus reals, sense disponibilitat d’un proveïdor extern i sense contaminar el domini amb detalls tècnics. [mirada al tribunal]</w:t>
      </w:r>
    </w:p>
    <w:p>
      <w:pPr>
        <w:pStyle w:val="BodyText"/>
      </w:pPr>
      <w:r>
        <w:t xml:space="preserve">El missatge de la demo és el mateix que hem treballat des del principi: canvia la infraestructura; el cas d’ús i el domini romanen estables.</w:t>
      </w:r>
    </w:p>
    <w:p>
      <w:pPr>
        <w:pStyle w:val="BodyText"/>
      </w:pPr>
      <w:r>
        <w:t xml:space="preserve">Això no vol dir que l’arquitectura elimini el canvi. El canvi continua existint. El que fa una bona arquitectura és localitzar-lo.</w:t>
      </w:r>
    </w:p>
    <w:p>
      <w:r>
        <w:pict>
          <ns1:rect style="width:0;height:1.5pt" ns2:hralign="center" ns2:hrstd="t" ns2:hr="t"/>
        </w:pict>
      </w:r>
    </w:p>
    <w:bookmarkEnd w:id="21"/>
    <w:bookmarkEnd w:id="22"/>
    <w:bookmarkStart w:id="35" w:name="notes-del-presentador-per-diapositiva"/>
    <w:p>
      <w:pPr>
        <w:pStyle w:val="Heading2"/>
      </w:pPr>
      <w:r>
        <w:t xml:space="preserve">2. Notes del presentador per diapositiva</w:t>
      </w:r>
    </w:p>
    <w:bookmarkStart w:id="23" w:name="portada---135"/>
    <w:p>
      <w:pPr>
        <w:pStyle w:val="Heading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Heading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Heading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Heading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55"/>
    <w:p>
      <w:pPr>
        <w:pStyle w:val="Heading3"/>
      </w:pPr>
      <w:r>
        <w:t xml:space="preserve">5. Informació externa - 1:55</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205"/>
    <w:p>
      <w:pPr>
        <w:pStyle w:val="Heading3"/>
      </w:pPr>
      <w:r>
        <w:t xml:space="preserve">6. Dependència directa - 2:05</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8"/>
    <w:bookmarkStart w:id="29" w:name="port-i-adaptador---220"/>
    <w:p>
      <w:pPr>
        <w:pStyle w:val="Heading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En Java, el port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55"/>
    <w:p>
      <w:pPr>
        <w:pStyle w:val="Heading3"/>
      </w:pPr>
      <w:r>
        <w:t xml:space="preserve">8. Port patrimonial - 1:55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35"/>
    <w:p>
      <w:pPr>
        <w:pStyle w:val="Heading3"/>
      </w:pPr>
      <w:r>
        <w:t xml:space="preserve">9. Domini financer - 1:35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concretar-ho en el flux de HexaStock.</w:t>
      </w:r>
    </w:p>
    <w:bookmarkEnd w:id="31"/>
    <w:bookmarkStart w:id="32" w:name="flux-i-codi---135"/>
    <w:p>
      <w:pPr>
        <w:pStyle w:val="Heading3"/>
      </w:pPr>
      <w:r>
        <w:t xml:space="preserve">10. Flux i codi - 1:35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el servei coordina, el domini decideix, l’adaptador integra.</w:t>
      </w:r>
    </w:p>
    <w:p>
      <w:pPr>
        <w:pStyle w:val="Compact"/>
        <w:numPr>
          <w:ilvl w:val="0"/>
          <w:numId w:val="1011"/>
        </w:numPr>
      </w:pPr>
      <w:r>
        <w:t xml:space="preserve">Transició: conclusió i agraïment.</w:t>
      </w:r>
    </w:p>
    <w:bookmarkEnd w:id="32"/>
    <w:bookmarkStart w:id="33" w:name="agraïment---140"/>
    <w:p>
      <w:pPr>
        <w:pStyle w:val="Heading3"/>
      </w:pPr>
      <w:r>
        <w:t xml:space="preserve">11. Agraïment - 1:40</w:t>
      </w:r>
    </w:p>
    <w:p>
      <w:pPr>
        <w:pStyle w:val="Compact"/>
        <w:numPr>
          <w:ilvl w:val="0"/>
          <w:numId w:val="1012"/>
        </w:numPr>
      </w:pPr>
      <w:r>
        <w:t xml:space="preserve">Arquitectura no elimina canvi; el localitza.</w:t>
      </w:r>
    </w:p>
    <w:p>
      <w:pPr>
        <w:pStyle w:val="Compact"/>
        <w:numPr>
          <w:ilvl w:val="0"/>
          <w:numId w:val="1012"/>
        </w:numPr>
      </w:pPr>
      <w:r>
        <w:t xml:space="preserve">Canviar adaptador, no cas d’ús ni domini.</w:t>
      </w:r>
    </w:p>
    <w:p>
      <w:pPr>
        <w:pStyle w:val="Compact"/>
        <w:numPr>
          <w:ilvl w:val="0"/>
          <w:numId w:val="1012"/>
        </w:numPr>
      </w:pPr>
      <w:r>
        <w:t xml:space="preserve">Agraïment TecnoCampus.</w:t>
      </w:r>
    </w:p>
    <w:p>
      <w:pPr>
        <w:pStyle w:val="Compact"/>
        <w:numPr>
          <w:ilvl w:val="0"/>
          <w:numId w:val="1012"/>
        </w:numPr>
      </w:pPr>
      <w:r>
        <w:t xml:space="preserve">Agraïment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Heading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ns1:rect style="width:0;height:1.5pt" ns2:hralign="center" ns2:hrstd="t" ns2:hr="t"/>
        </w:pict>
      </w:r>
    </w:p>
    <w:bookmarkEnd w:id="34"/>
    <w:bookmarkEnd w:id="35"/>
    <w:bookmarkStart w:id="36" w:name="esquema-de-memorització"/>
    <w:p>
      <w:pPr>
        <w:pStyle w:val="Heading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Interfície, contracte,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BodyText"/>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BodyText"/>
      </w:pPr>
      <w:r>
        <w:t xml:space="preserve">Mantra de l’annex opcional:</w:t>
      </w:r>
      <w:r>
        <w:t xml:space="preserve"> </w:t>
      </w:r>
      <w:r>
        <w:rPr>
          <w:rStyle w:val="VerbatimChar"/>
        </w:rPr>
        <w:t xml:space="preserve">mateix cas d'ús -&gt; mateix servei -&gt; mateix domini -&gt; canvia l'adaptador</w:t>
      </w:r>
      <w:r>
        <w:t xml:space="preserve">.</w:t>
      </w:r>
    </w:p>
    <w:p>
      <w:r>
        <w:pict>
          <ns1:rect style="width:0;height:1.5pt" ns2:hralign="center" ns2:hrstd="t" ns2:hr="t"/>
        </w:pict>
      </w:r>
    </w:p>
    <w:bookmarkEnd w:id="36"/>
    <w:bookmarkStart w:id="41" w:name="pla-dentrenament-comunicatiu"/>
    <w:p>
      <w:pPr>
        <w:pStyle w:val="Heading2"/>
      </w:pPr>
      <w:r>
        <w:t xml:space="preserve">4. Pla d’entrenament comunicatiu</w:t>
      </w:r>
    </w:p>
    <w:bookmarkStart w:id="37" w:name="entrenament-inicial"/>
    <w:p>
      <w:pPr>
        <w:pStyle w:val="Heading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interfície, i la conclusió final. La resta pot ser més flexible.</w:t>
      </w:r>
    </w:p>
    <w:p>
      <w:pPr>
        <w:pStyle w:val="BodyText"/>
      </w:pPr>
      <w:r>
        <w:t xml:space="preserve">Després fes una lectura cronometrada només del cos principal, sense annex. Ritme orientatiu: 125-135 paraules per minut, amb pauses reals. Si surt per sobre de 21 minuts, retalla detall de les diapositives 5, 6, 8 o 9. Si surt per sota de 18:30, no afegeixis contingut tècnic nou; amplia pauses, mirada i transicions.</w:t>
      </w:r>
    </w:p>
    <w:p>
      <w:pPr>
        <w:pStyle w:val="BodyText"/>
      </w:pPr>
      <w:r>
        <w:t xml:space="preserve">La demo opcional s’ha d’assajar per separat. No s’ha d’incloure en el cronòmetre principal.</w:t>
      </w:r>
    </w:p>
    <w:bookmarkEnd w:id="37"/>
    <w:bookmarkStart w:id="38" w:name="entrenament-intermedi"/>
    <w:p>
      <w:pPr>
        <w:pStyle w:val="Heading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Heading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BodyText"/>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Heading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en Java, el port s'expressa com una interfície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BodyText"/>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ns1:rect style="width:0;height:1.5pt" ns2:hralign="center" ns2:hrstd="t" ns2:hr="t"/>
        </w:pict>
      </w:r>
    </w:p>
    <w:bookmarkEnd w:id="40"/>
    <w:bookmarkEnd w:id="41"/>
    <w:bookmarkStart w:id="42" w:name="advertiments-finals"/>
    <w:p>
      <w:pPr>
        <w:pStyle w:val="Heading2"/>
      </w:pPr>
      <w:r>
        <w:t xml:space="preserve">5. Advertiments finals</w:t>
      </w:r>
    </w:p>
    <w:p>
      <w:pPr>
        <w:pStyle w:val="FirstParagraph"/>
      </w:pPr>
      <w:r>
        <w:t xml:space="preserve">Risc de temps: les diapositives 4-10 poden allargar-se fàcilment. Si vas tard, no retallis la conclusió; retalla detall del cas AGAUR, de la transferència al domini financer o de la lectura del diagrama de seqüència.</w:t>
      </w:r>
    </w:p>
    <w:p>
      <w:pPr>
        <w:pStyle w:val="BodyText"/>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BodyText"/>
      </w:pPr>
      <w:r>
        <w:t xml:space="preserve">Risc conceptual: no diguis que PICA és el problema. Formula-ho sempre així: el problema és que el cas d’ús depengui directament dels detalls tècnics de la integració.</w:t>
      </w:r>
    </w:p>
    <w:p>
      <w:pPr>
        <w:pStyle w:val="BodyText"/>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BodyText"/>
      </w:pPr>
      <w:r>
        <w:t xml:space="preserve">Risc de port massa abstracte: concretar-lo sempre amb Java. En aquesta explicació, el port s’expressa com una interfície i l’adaptador implementa aquesta interfície. Aquesta concreció evita que el concepte soni massa metafòric o purament teòric.</w:t>
      </w:r>
    </w:p>
    <w:p>
      <w:pPr>
        <w:pStyle w:val="BodyText"/>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BodyText"/>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BodyText"/>
      </w:pPr>
      <w:r>
        <w:t xml:space="preserve">Risc de confidencialitat: no mencionar endpoints, credencials, captures internes ni detalls operatius d’AGAUR. L’informe acredita l’activitat; la classe només usa el cas com a abstracció docent.</w:t>
      </w:r>
    </w:p>
    <w:bookmarkEnd w:id="42"/>
    <w:bookmarkEnd w:id="43"/>
    <w:sectPr>
      <w:pgSz w:h="16838" w:w="11906"/>
      <w:pgMar w:bottom="1134" w:footer="708" w:gutter="0" w:header="708" w:left="1134" w:right="1134" w:top="113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2026-07-03T20:59:35Z</dcterms:created>
  <dcterms:modified xsi:type="dcterms:W3CDTF">2026-07-03T20:59:35Z</dcterms:modified>
</cp:coreProperties>
</file>

<file path=docProps/custom.xml><?xml version="1.0" encoding="utf-8"?>
<Properties xmlns="http://schemas.openxmlformats.org/officeDocument/2006/custom-properties" xmlns:vt="http://schemas.openxmlformats.org/officeDocument/2006/docPropsVTypes"/>
</file>