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S’han revisat també els detalls formals del text visible de la presentació:</w:t>
      </w:r>
      <w:r>
        <w:t xml:space="preserve"> </w:t>
      </w:r>
      <w:r>
        <w:rPr>
          <w:rStyle w:val="VerbatimChar"/>
        </w:rPr>
        <w:t xml:space="preserve">Generarlitat</w:t>
      </w:r>
      <w:r>
        <w:t xml:space="preserve"> </w:t>
      </w:r>
      <w:r>
        <w:t xml:space="preserve">s’ha corregit per</w:t>
      </w:r>
      <w:r>
        <w:t xml:space="preserve"> </w:t>
      </w:r>
      <w:r>
        <w:rPr>
          <w:rStyle w:val="VerbatimChar"/>
        </w:rPr>
        <w:t xml:space="preserve">Generalitat</w:t>
      </w:r>
      <w:r>
        <w:t xml:space="preserve">;</w:t>
      </w:r>
      <w:r>
        <w:t xml:space="preserve"> </w:t>
      </w:r>
      <w:r>
        <w:rPr>
          <w:rStyle w:val="VerbatimChar"/>
        </w:rPr>
        <w:t xml:space="preserve">tecnología</w:t>
      </w:r>
      <w:r>
        <w:t xml:space="preserve"> </w:t>
      </w:r>
      <w:r>
        <w:t xml:space="preserve">per</w:t>
      </w:r>
      <w:r>
        <w:t xml:space="preserve"> </w:t>
      </w:r>
      <w:r>
        <w:rPr>
          <w:rStyle w:val="VerbatimChar"/>
        </w:rPr>
        <w:t xml:space="preserve">tecnologia</w:t>
      </w:r>
      <w:r>
        <w:t xml:space="preserve">;</w:t>
      </w:r>
      <w:r>
        <w:t xml:space="preserve"> </w:t>
      </w:r>
      <w:r>
        <w:rPr>
          <w:rStyle w:val="VerbatimChar"/>
        </w:rPr>
        <w:t xml:space="preserve">necesita</w:t>
      </w:r>
      <w:r>
        <w:t xml:space="preserve"> </w:t>
      </w:r>
      <w:r>
        <w:t xml:space="preserve">per</w:t>
      </w:r>
      <w:r>
        <w:t xml:space="preserve"> </w:t>
      </w:r>
      <w:r>
        <w:rPr>
          <w:rStyle w:val="VerbatimChar"/>
        </w:rPr>
        <w:t xml:space="preserve">necessita</w:t>
      </w:r>
      <w:r>
        <w:t xml:space="preserve">;</w:t>
      </w:r>
      <w:r>
        <w:t xml:space="preserve"> </w:t>
      </w:r>
      <w:r>
        <w:rPr>
          <w:rStyle w:val="VerbatimChar"/>
        </w:rPr>
        <w:t xml:space="preserve">d´ús</w:t>
      </w:r>
      <w:r>
        <w:t xml:space="preserve"> </w:t>
      </w:r>
      <w:r>
        <w:t xml:space="preserve">per</w:t>
      </w:r>
      <w:r>
        <w:t xml:space="preserve"> </w:t>
      </w:r>
      <w:r>
        <w:rPr>
          <w:rStyle w:val="VerbatimChar"/>
        </w:rPr>
        <w:t xml:space="preserve">d'ús</w:t>
      </w:r>
      <w:r>
        <w:t xml:space="preserve">; i s’ha regularitzat la numeració visible de les diapositives. La correcció</w:t>
      </w:r>
      <w:r>
        <w:t xml:space="preserve"> </w:t>
      </w:r>
      <w:r>
        <w:rPr>
          <w:rStyle w:val="VerbatimChar"/>
        </w:rPr>
        <w:t xml:space="preserve">desacoplada</w:t>
      </w:r>
      <w:r>
        <w:t xml:space="preserve"> </w:t>
      </w:r>
      <w:r>
        <w:t xml:space="preserve">-&gt;</w:t>
      </w:r>
      <w:r>
        <w:t xml:space="preserve"> </w:t>
      </w:r>
      <w:r>
        <w:rPr>
          <w:rStyle w:val="VerbatimChar"/>
        </w:rPr>
        <w:t xml:space="preserve">desacoblada</w:t>
      </w:r>
      <w:r>
        <w:t xml:space="preserve"> </w:t>
      </w:r>
      <w:r>
        <w:t xml:space="preserve">ja s’havia aplicat a la diapositiva 2.</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Correcció aplicada:</w:t>
      </w:r>
      <w:r>
        <w:t xml:space="preserve"> </w:t>
      </w:r>
      <w:r>
        <w:rPr>
          <w:rStyle w:val="VerbatimChar"/>
        </w:rPr>
        <w:t xml:space="preserve">desacoplada</w:t>
      </w:r>
      <w:r>
        <w:t xml:space="preserve"> </w:t>
      </w:r>
      <w:r>
        <w:t xml:space="preserve">s’ha substituït per</w:t>
      </w:r>
      <w:r>
        <w:t xml:space="preserve"> </w:t>
      </w:r>
      <w:r>
        <w:rPr>
          <w:rStyle w:val="VerbatimChar"/>
        </w:rPr>
        <w:t xml:space="preserve">desacoblada</w:t>
      </w:r>
      <w:r>
        <w:t xml:space="preserve">. També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Diapositives 3 i 4. Principi de disseny i objectiu d’aprenentatge</w:t>
      </w:r>
    </w:p>
    <w:p>
      <w:pPr>
        <w:pStyle w:val="BodyText"/>
      </w:pPr>
      <w:r>
        <w:t xml:space="preserve">Correcció aplicada. La diapositiva 3 es presenta ara com a</w:t>
      </w:r>
      <w:r>
        <w:t xml:space="preserve"> </w:t>
      </w:r>
      <w:r>
        <w:rPr>
          <w:rStyle w:val="VerbatimChar"/>
        </w:rPr>
        <w:t xml:space="preserve">Principi de disseny</w:t>
      </w:r>
      <w:r>
        <w:t xml:space="preserve">: el servei d’aplicació necessita una capacitat, no una tecnologia. La diapositiva 4 es presenta com a</w:t>
      </w:r>
      <w:r>
        <w:t xml:space="preserve"> </w:t>
      </w:r>
      <w:r>
        <w:rPr>
          <w:rStyle w:val="VerbatimChar"/>
        </w:rPr>
        <w:t xml:space="preserve">Objectiu d'aprenentatge</w:t>
      </w:r>
      <w:r>
        <w:t xml:space="preserve">: aplicar aquest principi en tres operacions observables. També s’ha corregit la numeració del peu de la diapositiva 4.</w:t>
      </w:r>
    </w:p>
    <w:p>
      <w:pPr>
        <w:pStyle w:val="BodyText"/>
      </w:pPr>
      <w:r>
        <w:rPr>
          <w:b/>
          <w:bCs/>
        </w:rPr>
        <w:t xml:space="preserve">Diapositiva 5. Avaluació econòmica d’una beca</w:t>
      </w:r>
    </w:p>
    <w:p>
      <w:pPr>
        <w:pStyle w:val="BodyText"/>
      </w:pPr>
      <w:r>
        <w:t xml:space="preserve">La diapositiva situa bé el cas funcional abans de la tecnologia. Correcció aplicada: la frase</w:t>
      </w:r>
      <w:r>
        <w:t xml:space="preserve"> </w:t>
      </w:r>
      <w:r>
        <w:rPr>
          <w:rStyle w:val="VerbatimChar"/>
        </w:rPr>
        <w:t xml:space="preserve">no es pot concedir la beca</w:t>
      </w:r>
      <w:r>
        <w:t xml:space="preserve"> </w:t>
      </w:r>
      <w:r>
        <w:t xml:space="preserve">s’ha substituït per una formulació més institucional i prudent:</w:t>
      </w:r>
      <w:r>
        <w:t xml:space="preserve"> </w:t>
      </w:r>
      <w:r>
        <w:rPr>
          <w:rStyle w:val="VerbatimChar"/>
        </w:rPr>
        <w:t xml:space="preserve">Quan no s'acredita el compliment dels requisits econòmics, l'expedient no obté una valoració favorable en aquesta fase.</w:t>
      </w:r>
      <w:r>
        <w:t xml:space="preserve"> </w:t>
      </w:r>
      <w:r>
        <w:t xml:space="preserve">El diagrama petit pot ser difícil de llegir; si no es retoca, cal assenyalar només el bloc d’avaluació econòmica.</w:t>
      </w:r>
    </w:p>
    <w:p>
      <w:pPr>
        <w:pStyle w:val="BodyText"/>
      </w:pPr>
      <w:r>
        <w:rPr>
          <w:b/>
          <w:bCs/>
        </w:rPr>
        <w:t xml:space="preserve">Diapositiva 6. Informació externa</w:t>
      </w:r>
    </w:p>
    <w:p>
      <w:pPr>
        <w:pStyle w:val="BodyText"/>
      </w:pPr>
      <w:r>
        <w:t xml:space="preserve">La idea és molt bona: necessitat funcional abans que API concreta. Correcció aplicada:</w:t>
      </w:r>
      <w:r>
        <w:t xml:space="preserve"> </w:t>
      </w:r>
      <w:r>
        <w:rPr>
          <w:rStyle w:val="VerbatimChar"/>
        </w:rPr>
        <w:t xml:space="preserve">Generarlitat</w:t>
      </w:r>
      <w:r>
        <w:t xml:space="preserve"> </w:t>
      </w:r>
      <w:r>
        <w:t xml:space="preserve">s’ha substituït per</w:t>
      </w:r>
      <w:r>
        <w:t xml:space="preserve"> </w:t>
      </w:r>
      <w:r>
        <w:rPr>
          <w:rStyle w:val="VerbatimChar"/>
        </w:rPr>
        <w:t xml:space="preserve">Generalitat</w:t>
      </w:r>
      <w:r>
        <w:t xml:space="preserve"> </w:t>
      </w:r>
      <w:r>
        <w:t xml:space="preserve">i la definició de PICA s’ha simplificat per evitar una nota massa llarga. La resta s’explica oralment.</w:t>
      </w:r>
    </w:p>
    <w:p>
      <w:pPr>
        <w:pStyle w:val="BodyText"/>
      </w:pPr>
      <w:r>
        <w:rPr>
          <w:b/>
          <w:bCs/>
        </w:rPr>
        <w:t xml:space="preserve">Diapositiva 7.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8.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9.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10.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central és correcte i s’ha de mantenir: el cas d’ús necessita el preu actual, no un proveïdor concret.</w:t>
      </w:r>
    </w:p>
    <w:p>
      <w:pPr>
        <w:pStyle w:val="BodyText"/>
      </w:pPr>
      <w:r>
        <w:rPr>
          <w:b/>
          <w:bCs/>
        </w:rPr>
        <w:t xml:space="preserve">Diapositiva 11.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8-10.</w:t>
      </w:r>
    </w:p>
    <w:p>
      <w:pPr>
        <w:pStyle w:val="BodyText"/>
      </w:pPr>
      <w:r>
        <w:rPr>
          <w:b/>
          <w:bCs/>
        </w:rPr>
        <w:t xml:space="preserve">Diapositiva 12.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13. Agraïment</w:t>
      </w:r>
    </w:p>
    <w:p>
      <w:pPr>
        <w:pStyle w:val="BodyText"/>
      </w:pPr>
      <w: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t xml:space="preserve"> </w:t>
      </w:r>
      <w:r>
        <w:rPr>
          <w:rStyle w:val="VerbatimChar"/>
        </w:rPr>
        <w:t xml:space="preserve">Dr. Josep Roure Alcobé</w:t>
      </w:r>
      <w:r>
        <w:t xml:space="preserve">. Millor tancar mirant el tribunal, no llegint la diapositiva.</w:t>
      </w:r>
    </w:p>
    <w:bookmarkEnd w:id="10"/>
    <w:bookmarkStart w:id="24"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794484db9c2056c88eef6400cfc1ece43aa7669"/>
    <w:p>
      <w:pPr>
        <w:pStyle w:val="Heading3"/>
      </w:pPr>
      <w:r>
        <w:t xml:space="preserve">Diapositiva 2. On som dins l’assignatura - 1:15</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diapositiva-3.-principi-de-disseny---110"/>
    <w:p>
      <w:pPr>
        <w:pStyle w:val="Heading3"/>
      </w:pPr>
      <w:r>
        <w:t xml:space="preserve">Diapositiva 3. Principi de disseny - 1:10</w:t>
      </w:r>
    </w:p>
    <w:p>
      <w:pPr>
        <w:pStyle w:val="FirstParagraph"/>
      </w:pPr>
      <w:r>
        <w:t xml:space="preserve">La idea central de la sessió és aquesta: el servei d’aplicació necessita una capacitat, no una tecnologia. [pausa breu; mirar el tribunal]</w:t>
      </w:r>
    </w:p>
    <w:p>
      <w:pPr>
        <w:pStyle w:val="BodyText"/>
      </w:pPr>
      <w:r>
        <w:t xml:space="preserve">Aquesta frase és important perquè ens obliga a canviar la pregunta. La pregunta no hauria de ser, d’entrada,</w:t>
      </w:r>
      <w:r>
        <w:t xml:space="preserve"> </w:t>
      </w:r>
      <w:r>
        <w:rPr>
          <w:rStyle w:val="VerbatimChar"/>
        </w:rPr>
        <w:t xml:space="preserve">quina API crido?</w:t>
      </w:r>
      <w:r>
        <w:t xml:space="preserve">, o</w:t>
      </w:r>
      <w:r>
        <w:t xml:space="preserve"> </w:t>
      </w:r>
      <w:r>
        <w:rPr>
          <w:rStyle w:val="VerbatimChar"/>
        </w:rPr>
        <w:t xml:space="preserve">quin client SOAP o REST faig servir?</w:t>
      </w:r>
      <w:r>
        <w:t xml:space="preserve">. La pregunta inicial hauria de ser:</w:t>
      </w:r>
      <w:r>
        <w:t xml:space="preserve"> </w:t>
      </w:r>
      <w:r>
        <w:rPr>
          <w:rStyle w:val="VerbatimChar"/>
        </w:rPr>
        <w:t xml:space="preserve">quina capacitat necessita el cas d'ús per poder completar la seva responsabilitat?</w:t>
      </w:r>
    </w:p>
    <w:p>
      <w:pPr>
        <w:pStyle w:val="BodyText"/>
      </w:pPr>
      <w:r>
        <w:t xml:space="preserve">En arquitectura hexagonal, aquest canvi de pregunta és fonamental. El nucli de l’aplicació ha de parlar en el llenguatge del problema, no en el llenguatge accidental de la infraestructura. [assenyalar el centre del diagrama]</w:t>
      </w:r>
    </w:p>
    <w:p>
      <w:pPr>
        <w:pStyle w:val="BodyText"/>
      </w:pPr>
      <w:r>
        <w:t xml:space="preserve">El llibre de Tom Hombergs sobre Clean Architecture ho formula en la mateixa direcció conceptual: les dependències han d’apuntar cap al nucli, i el domini no ha de quedar condicionat per frameworks, bases de dades, interfícies d’usuari o sistemes externs. No es tracta d’ignorar que aquests sistemes existeixen. Es tracta de posar-los al lloc arquitectònic que els correspon.</w:t>
      </w:r>
    </w:p>
    <w:bookmarkEnd w:id="13"/>
    <w:bookmarkStart w:id="14" w:name="X044b902d0f2dfff7121a66a33ea1162812135fe"/>
    <w:p>
      <w:pPr>
        <w:pStyle w:val="Heading3"/>
      </w:pPr>
      <w:r>
        <w:t xml:space="preserve">Diapositiva 4. Objectiu d’aprenentatge - 0:50</w:t>
      </w:r>
    </w:p>
    <w:p>
      <w:pPr>
        <w:pStyle w:val="FirstParagraph"/>
      </w:pPr>
      <w:r>
        <w:t xml:space="preserve">Per convertir aquesta idea en aprenentatge observable, podem formular tres accions. [assenyalar les tres caixes]</w:t>
      </w:r>
    </w:p>
    <w:p>
      <w:pPr>
        <w:pStyle w:val="BodyText"/>
      </w:pPr>
      <w:r>
        <w:t xml:space="preserve">Primer, identificar la necessitat o capacitat. Segon, definir un port que expressi aquesta necessitat en el llenguatge de l’aplicació. I tercer, implementar adaptadors que resolguin aquesta necessitat amb tecnologies concretes.</w:t>
      </w:r>
    </w:p>
    <w:p>
      <w:pPr>
        <w:pStyle w:val="BodyText"/>
      </w:pPr>
      <w:r>
        <w:t xml:space="preserve">Dit d’una altra manera: l’estudiant no només hauria de memoritzar que existeixen ports i adaptadors. Hauria de poder mirar un cas d’ús, detectar on apareix l’acoblament tecnològic, i proposar una frontera arquitectònica que permeti substituir la infraestructura sense modificar el cas d’ús ni el domini. [pausa breu]</w:t>
      </w:r>
    </w:p>
    <w:p>
      <w:pPr>
        <w:pStyle w:val="BodyText"/>
      </w:pPr>
      <w:r>
        <w:t xml:space="preserve">Ara ho veurem amb un cas funcional.</w:t>
      </w:r>
    </w:p>
    <w:bookmarkEnd w:id="14"/>
    <w:bookmarkStart w:id="15" w:name="Xb1c176126e25cc487f84f2d677658c9e0434ef5"/>
    <w:p>
      <w:pPr>
        <w:pStyle w:val="Heading3"/>
      </w:pPr>
      <w:r>
        <w:t xml:space="preserve">Diapositiva 5.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5"/>
    <w:bookmarkStart w:id="16" w:name="X33394f776bbe76b73a7cb438bc3a259e6d1ad92"/>
    <w:p>
      <w:pPr>
        <w:pStyle w:val="Heading3"/>
      </w:pPr>
      <w:r>
        <w:t xml:space="preserve">Diapositiva 6.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6"/>
    <w:bookmarkStart w:id="17" w:name="X96cb14feb9aa6cee6140ca06f960605cefc01dc"/>
    <w:p>
      <w:pPr>
        <w:pStyle w:val="Heading3"/>
      </w:pPr>
      <w:r>
        <w:t xml:space="preserve">Diapositiva 7. Dependència directa entre procediment i integració - 2:00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7"/>
    <w:bookmarkStart w:id="18" w:name="X38be71501c3b4b4c6f3d9d02d0cb22f98a9980c"/>
    <w:p>
      <w:pPr>
        <w:pStyle w:val="Heading3"/>
      </w:pPr>
      <w:r>
        <w:t xml:space="preserve">Diapositiva 8. Port de sortida i adaptador - 1:25</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8"/>
    <w:bookmarkStart w:id="19" w:name="X59cad6adc5598639d21057045a6f93470b43f2d"/>
    <w:p>
      <w:pPr>
        <w:pStyle w:val="Heading3"/>
      </w:pPr>
      <w:r>
        <w:t xml:space="preserve">Diapositiva 9.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9"/>
    <w:bookmarkStart w:id="20" w:name="Xfc787a4a7dfb56f5f09a9752b423df7b5ae64e8"/>
    <w:p>
      <w:pPr>
        <w:pStyle w:val="Heading3"/>
      </w:pPr>
      <w:r>
        <w:t xml:space="preserve">Diapositiva 10. Transferència a domini financer - 1:40</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20"/>
    <w:bookmarkStart w:id="21" w:name="X52ba5e9e737e38c182d434998da64a8e8df3254"/>
    <w:p>
      <w:pPr>
        <w:pStyle w:val="Heading3"/>
      </w:pPr>
      <w:r>
        <w:t xml:space="preserve">Diapositiva 11. Flux i codi essencial - 1:40</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1"/>
    <w:bookmarkStart w:id="22" w:name="diapositiva-12.-demo---140"/>
    <w:p>
      <w:pPr>
        <w:pStyle w:val="Heading3"/>
      </w:pPr>
      <w:r>
        <w:t xml:space="preserve">Diapositiva 12. Demo - 1:40</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2"/>
    <w:bookmarkStart w:id="23" w:name="diapositiva-13.-agraïment---100"/>
    <w:p>
      <w:pPr>
        <w:pStyle w:val="Heading3"/>
      </w:pPr>
      <w:r>
        <w:t xml:space="preserve">Diapositiva 13. Agraïment - 1:00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3"/>
    <w:bookmarkEnd w:id="24"/>
    <w:bookmarkStart w:id="38" w:name="notes-del-presentador-per-diapositiva"/>
    <w:p>
      <w:pPr>
        <w:pStyle w:val="Heading2"/>
      </w:pPr>
      <w:r>
        <w:t xml:space="preserve">4. Notes del presentador per diapositiva</w:t>
      </w:r>
    </w:p>
    <w:bookmarkStart w:id="25"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5"/>
    <w:bookmarkStart w:id="26" w:name="on-som-dins-lassignatura---115"/>
    <w:p>
      <w:pPr>
        <w:pStyle w:val="Heading3"/>
      </w:pPr>
      <w:r>
        <w:t xml:space="preserve">2. On som dins l’assignatura - 1:15</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APIs externes desacoblades.</w:t>
      </w:r>
    </w:p>
    <w:p>
      <w:pPr>
        <w:pStyle w:val="Compact"/>
        <w:numPr>
          <w:ilvl w:val="0"/>
          <w:numId w:val="1004"/>
        </w:numPr>
      </w:pPr>
      <w:r>
        <w:t xml:space="preserve">Transició: formular l’objectiu d’aprenentatge.</w:t>
      </w:r>
    </w:p>
    <w:bookmarkEnd w:id="26"/>
    <w:bookmarkStart w:id="27" w:name="principi-de-disseny---110"/>
    <w:p>
      <w:pPr>
        <w:pStyle w:val="Heading3"/>
      </w:pPr>
      <w:r>
        <w:t xml:space="preserve">3. Principi de disseny - 1:10</w:t>
      </w:r>
    </w:p>
    <w:p>
      <w:pPr>
        <w:pStyle w:val="Compact"/>
        <w:numPr>
          <w:ilvl w:val="0"/>
          <w:numId w:val="1005"/>
        </w:numPr>
      </w:pPr>
      <w:r>
        <w:t xml:space="preserve">Frase clau: capacitat, no tecnologia.</w:t>
      </w:r>
    </w:p>
    <w:p>
      <w:pPr>
        <w:pStyle w:val="Compact"/>
        <w:numPr>
          <w:ilvl w:val="0"/>
          <w:numId w:val="1005"/>
        </w:numPr>
      </w:pPr>
      <w:r>
        <w:t xml:space="preserve">Canviar la pregunta: no</w:t>
      </w:r>
      <w:r>
        <w:t xml:space="preserve"> </w:t>
      </w:r>
      <w:r>
        <w:rPr>
          <w:rStyle w:val="VerbatimChar"/>
        </w:rPr>
        <w:t xml:space="preserve">quina API?</w:t>
      </w:r>
      <w:r>
        <w:t xml:space="preserve">, sinó</w:t>
      </w:r>
      <w:r>
        <w:t xml:space="preserve"> </w:t>
      </w:r>
      <w:r>
        <w:rPr>
          <w:rStyle w:val="VerbatimChar"/>
        </w:rPr>
        <w:t xml:space="preserve">quina necessitat?</w:t>
      </w:r>
      <w:r>
        <w:t xml:space="preserve">.</w:t>
      </w:r>
    </w:p>
    <w:p>
      <w:pPr>
        <w:pStyle w:val="Compact"/>
        <w:numPr>
          <w:ilvl w:val="0"/>
          <w:numId w:val="1005"/>
        </w:numPr>
      </w:pPr>
      <w:r>
        <w:t xml:space="preserve">El nucli parla llenguatge del problema.</w:t>
      </w:r>
    </w:p>
    <w:p>
      <w:pPr>
        <w:pStyle w:val="Compact"/>
        <w:numPr>
          <w:ilvl w:val="0"/>
          <w:numId w:val="1005"/>
        </w:numPr>
      </w:pPr>
      <w:r>
        <w:t xml:space="preserve">Dependències cap al nucli, no cap a la infraestructura.</w:t>
      </w:r>
    </w:p>
    <w:p>
      <w:pPr>
        <w:pStyle w:val="Compact"/>
        <w:numPr>
          <w:ilvl w:val="0"/>
          <w:numId w:val="1005"/>
        </w:numPr>
      </w:pPr>
      <w:r>
        <w:t xml:space="preserve">Transició: convertir el principi en accions observables.</w:t>
      </w:r>
    </w:p>
    <w:bookmarkEnd w:id="27"/>
    <w:bookmarkStart w:id="28" w:name="objectiu-daprenentatge---050"/>
    <w:p>
      <w:pPr>
        <w:pStyle w:val="Heading3"/>
      </w:pPr>
      <w:r>
        <w:t xml:space="preserve">4. Objectiu d’aprenentatge - 0:50</w:t>
      </w:r>
    </w:p>
    <w:p>
      <w:pPr>
        <w:pStyle w:val="Compact"/>
        <w:numPr>
          <w:ilvl w:val="0"/>
          <w:numId w:val="1006"/>
        </w:numPr>
      </w:pPr>
      <w:r>
        <w:t xml:space="preserve">Identificar necessitat.</w:t>
      </w:r>
    </w:p>
    <w:p>
      <w:pPr>
        <w:pStyle w:val="Compact"/>
        <w:numPr>
          <w:ilvl w:val="0"/>
          <w:numId w:val="1006"/>
        </w:numPr>
      </w:pPr>
      <w:r>
        <w:t xml:space="preserve">Definir port.</w:t>
      </w:r>
    </w:p>
    <w:p>
      <w:pPr>
        <w:pStyle w:val="Compact"/>
        <w:numPr>
          <w:ilvl w:val="0"/>
          <w:numId w:val="1006"/>
        </w:numPr>
      </w:pPr>
      <w:r>
        <w:t xml:space="preserve">Implementar adaptadors.</w:t>
      </w:r>
    </w:p>
    <w:p>
      <w:pPr>
        <w:pStyle w:val="Compact"/>
        <w:numPr>
          <w:ilvl w:val="0"/>
          <w:numId w:val="1006"/>
        </w:numPr>
      </w:pPr>
      <w:r>
        <w:t xml:space="preserve">L’estudiant ha de detectar acoblament i proposar frontera.</w:t>
      </w:r>
    </w:p>
    <w:p>
      <w:pPr>
        <w:pStyle w:val="Compact"/>
        <w:numPr>
          <w:ilvl w:val="0"/>
          <w:numId w:val="1006"/>
        </w:numPr>
      </w:pPr>
      <w:r>
        <w:t xml:space="preserve">Transició: aplicar-ho a un cas funcional.</w:t>
      </w:r>
    </w:p>
    <w:bookmarkEnd w:id="28"/>
    <w:bookmarkStart w:id="29" w:name="avaluació-econòmica---145"/>
    <w:p>
      <w:pPr>
        <w:pStyle w:val="Heading3"/>
      </w:pPr>
      <w:r>
        <w:t xml:space="preserve">5. Avaluació econòmica - 1:45</w:t>
      </w:r>
    </w:p>
    <w:p>
      <w:pPr>
        <w:pStyle w:val="Compact"/>
        <w:numPr>
          <w:ilvl w:val="0"/>
          <w:numId w:val="1007"/>
        </w:numPr>
      </w:pPr>
      <w:r>
        <w:t xml:space="preserve">Primer entendre procediment, després tecnologia.</w:t>
      </w:r>
    </w:p>
    <w:p>
      <w:pPr>
        <w:pStyle w:val="Compact"/>
        <w:numPr>
          <w:ilvl w:val="0"/>
          <w:numId w:val="1007"/>
        </w:numPr>
      </w:pPr>
      <w:r>
        <w:t xml:space="preserve">Sol·licitud, expedient, requisits generals, econòmics, revisió, resolució.</w:t>
      </w:r>
    </w:p>
    <w:p>
      <w:pPr>
        <w:pStyle w:val="Compact"/>
        <w:numPr>
          <w:ilvl w:val="0"/>
          <w:numId w:val="1007"/>
        </w:numPr>
      </w:pPr>
      <w:r>
        <w:t xml:space="preserve">Renda i patrimoni com a decisió funcional.</w:t>
      </w:r>
    </w:p>
    <w:p>
      <w:pPr>
        <w:pStyle w:val="Compact"/>
        <w:numPr>
          <w:ilvl w:val="0"/>
          <w:numId w:val="1007"/>
        </w:numPr>
      </w:pPr>
      <w:r>
        <w:t xml:space="preserve">Evitar començar per SOAP/REST/PICA.</w:t>
      </w:r>
    </w:p>
    <w:p>
      <w:pPr>
        <w:pStyle w:val="Compact"/>
        <w:numPr>
          <w:ilvl w:val="0"/>
          <w:numId w:val="1007"/>
        </w:numPr>
      </w:pPr>
      <w:r>
        <w:t xml:space="preserve">Transició: quines dades externes fan falta?</w:t>
      </w:r>
    </w:p>
    <w:bookmarkEnd w:id="29"/>
    <w:bookmarkStart w:id="30" w:name="informació-externa---155"/>
    <w:p>
      <w:pPr>
        <w:pStyle w:val="Heading3"/>
      </w:pPr>
      <w:r>
        <w:t xml:space="preserve">6. Informació externa - 1:55</w:t>
      </w:r>
    </w:p>
    <w:p>
      <w:pPr>
        <w:pStyle w:val="Compact"/>
        <w:numPr>
          <w:ilvl w:val="0"/>
          <w:numId w:val="1008"/>
        </w:numPr>
      </w:pPr>
      <w:r>
        <w:t xml:space="preserve">Necessitats: renda, patrimoni, béns immobles.</w:t>
      </w:r>
    </w:p>
    <w:p>
      <w:pPr>
        <w:pStyle w:val="Compact"/>
        <w:numPr>
          <w:ilvl w:val="0"/>
          <w:numId w:val="1008"/>
        </w:numPr>
      </w:pPr>
      <w:r>
        <w:t xml:space="preserve">Fonts: AEAT, Cadastre, PICA.</w:t>
      </w:r>
    </w:p>
    <w:p>
      <w:pPr>
        <w:pStyle w:val="Compact"/>
        <w:numPr>
          <w:ilvl w:val="0"/>
          <w:numId w:val="1008"/>
        </w:numPr>
      </w:pPr>
      <w:r>
        <w:t xml:space="preserve">PICA com a interoperabilitat administrativa.</w:t>
      </w:r>
    </w:p>
    <w:p>
      <w:pPr>
        <w:pStyle w:val="Compact"/>
        <w:numPr>
          <w:ilvl w:val="0"/>
          <w:numId w:val="1008"/>
        </w:numPr>
      </w:pPr>
      <w:r>
        <w:t xml:space="preserve">Frase clau: informació administrativa, no API concreta.</w:t>
      </w:r>
    </w:p>
    <w:p>
      <w:pPr>
        <w:pStyle w:val="Compact"/>
        <w:numPr>
          <w:ilvl w:val="0"/>
          <w:numId w:val="1008"/>
        </w:numPr>
      </w:pPr>
      <w:r>
        <w:t xml:space="preserve">Transició: si no separem, apareix dependència directa.</w:t>
      </w:r>
    </w:p>
    <w:bookmarkEnd w:id="30"/>
    <w:bookmarkStart w:id="31" w:name="dependència-directa---200"/>
    <w:p>
      <w:pPr>
        <w:pStyle w:val="Heading3"/>
      </w:pPr>
      <w:r>
        <w:t xml:space="preserve">7. Dependència directa - 2:00</w:t>
      </w:r>
    </w:p>
    <w:p>
      <w:pPr>
        <w:pStyle w:val="Compact"/>
        <w:numPr>
          <w:ilvl w:val="0"/>
          <w:numId w:val="1009"/>
        </w:numPr>
      </w:pPr>
      <w:r>
        <w:t xml:space="preserve">El problema no és PICA; és l’acoblament directe.</w:t>
      </w:r>
    </w:p>
    <w:p>
      <w:pPr>
        <w:pStyle w:val="Compact"/>
        <w:numPr>
          <w:ilvl w:val="0"/>
          <w:numId w:val="1009"/>
        </w:numPr>
      </w:pPr>
      <w:r>
        <w:t xml:space="preserve">Cas d’ús coneix SOAP/XML, DTOs, clients, errors tècnics.</w:t>
      </w:r>
    </w:p>
    <w:p>
      <w:pPr>
        <w:pStyle w:val="Compact"/>
        <w:numPr>
          <w:ilvl w:val="0"/>
          <w:numId w:val="1009"/>
        </w:numPr>
      </w:pPr>
      <w:r>
        <w:t xml:space="preserve">Evolució tecnològica travessa frontera.</w:t>
      </w:r>
    </w:p>
    <w:p>
      <w:pPr>
        <w:pStyle w:val="Compact"/>
        <w:numPr>
          <w:ilvl w:val="0"/>
          <w:numId w:val="1009"/>
        </w:numPr>
      </w:pPr>
      <w:r>
        <w:t xml:space="preserve">Tres riscos: acoblament, manteniment fràgil, continuïtat operativa.</w:t>
      </w:r>
    </w:p>
    <w:p>
      <w:pPr>
        <w:pStyle w:val="Compact"/>
        <w:numPr>
          <w:ilvl w:val="0"/>
          <w:numId w:val="1009"/>
        </w:numPr>
      </w:pPr>
      <w:r>
        <w:t xml:space="preserve">Transició: resposta arquitectònica, port de sortida.</w:t>
      </w:r>
    </w:p>
    <w:bookmarkEnd w:id="31"/>
    <w:bookmarkStart w:id="32" w:name="port-i-adaptador---125"/>
    <w:p>
      <w:pPr>
        <w:pStyle w:val="Heading3"/>
      </w:pPr>
      <w:r>
        <w:t xml:space="preserve">8. Port i adaptador - 1:25</w:t>
      </w:r>
    </w:p>
    <w:p>
      <w:pPr>
        <w:pStyle w:val="Compact"/>
        <w:numPr>
          <w:ilvl w:val="0"/>
          <w:numId w:val="1010"/>
        </w:numPr>
      </w:pPr>
      <w:r>
        <w:t xml:space="preserve">Port = què necessita l’aplicació.</w:t>
      </w:r>
    </w:p>
    <w:p>
      <w:pPr>
        <w:pStyle w:val="Compact"/>
        <w:numPr>
          <w:ilvl w:val="0"/>
          <w:numId w:val="1010"/>
        </w:numPr>
      </w:pPr>
      <w:r>
        <w:t xml:space="preserve">Adaptador = com s’integra tècnicament.</w:t>
      </w:r>
    </w:p>
    <w:p>
      <w:pPr>
        <w:pStyle w:val="Compact"/>
        <w:numPr>
          <w:ilvl w:val="0"/>
          <w:numId w:val="1010"/>
        </w:numPr>
      </w:pPr>
      <w:r>
        <w:t xml:space="preserve">Distingir flux d’execució i dependència de codi.</w:t>
      </w:r>
    </w:p>
    <w:p>
      <w:pPr>
        <w:pStyle w:val="Compact"/>
        <w:numPr>
          <w:ilvl w:val="0"/>
          <w:numId w:val="1010"/>
        </w:numPr>
      </w:pPr>
      <w:r>
        <w:t xml:space="preserve">Inversió: adaptador implementa port; nucli no depèn d’adaptador.</w:t>
      </w:r>
    </w:p>
    <w:p>
      <w:pPr>
        <w:pStyle w:val="Compact"/>
        <w:numPr>
          <w:ilvl w:val="0"/>
          <w:numId w:val="1010"/>
        </w:numPr>
      </w:pPr>
      <w:r>
        <w:t xml:space="preserve">Transició: aplicar-ho al cas patrimonial.</w:t>
      </w:r>
    </w:p>
    <w:bookmarkEnd w:id="32"/>
    <w:bookmarkStart w:id="33" w:name="port-patrimonial---155"/>
    <w:p>
      <w:pPr>
        <w:pStyle w:val="Heading3"/>
      </w:pPr>
      <w:r>
        <w:t xml:space="preserve">9. Port patrimonial - 1:55</w:t>
      </w:r>
    </w:p>
    <w:p>
      <w:pPr>
        <w:pStyle w:val="Compact"/>
        <w:numPr>
          <w:ilvl w:val="0"/>
          <w:numId w:val="1011"/>
        </w:numPr>
      </w:pPr>
      <w:r>
        <w:t xml:space="preserve">Servei d’aplicació depèn de contractes propis.</w:t>
      </w:r>
    </w:p>
    <w:p>
      <w:pPr>
        <w:pStyle w:val="Compact"/>
        <w:numPr>
          <w:ilvl w:val="0"/>
          <w:numId w:val="1011"/>
        </w:numPr>
      </w:pPr>
      <w:r>
        <w:t xml:space="preserve">Adaptadors fora del nucli.</w:t>
      </w:r>
    </w:p>
    <w:p>
      <w:pPr>
        <w:pStyle w:val="Compact"/>
        <w:numPr>
          <w:ilvl w:val="0"/>
          <w:numId w:val="1011"/>
        </w:numPr>
      </w:pPr>
      <w:r>
        <w:t xml:space="preserve">PICA/JDBC/SOAP/REST són detalls substituïbles.</w:t>
      </w:r>
    </w:p>
    <w:p>
      <w:pPr>
        <w:pStyle w:val="Compact"/>
        <w:numPr>
          <w:ilvl w:val="0"/>
          <w:numId w:val="1011"/>
        </w:numPr>
      </w:pPr>
      <w:r>
        <w:t xml:space="preserve">Fletxa correcta d’implementació: adaptador -&gt; port.</w:t>
      </w:r>
    </w:p>
    <w:p>
      <w:pPr>
        <w:pStyle w:val="Compact"/>
        <w:numPr>
          <w:ilvl w:val="0"/>
          <w:numId w:val="1011"/>
        </w:numPr>
      </w:pPr>
      <w:r>
        <w:t xml:space="preserve">Transició: mateix patró en HexaStock.</w:t>
      </w:r>
    </w:p>
    <w:bookmarkEnd w:id="33"/>
    <w:bookmarkStart w:id="34" w:name="hexastock---140"/>
    <w:p>
      <w:pPr>
        <w:pStyle w:val="Heading3"/>
      </w:pPr>
      <w:r>
        <w:t xml:space="preserve">10. HexaStock - 1:40</w:t>
      </w:r>
    </w:p>
    <w:p>
      <w:pPr>
        <w:pStyle w:val="Compact"/>
        <w:numPr>
          <w:ilvl w:val="0"/>
          <w:numId w:val="1012"/>
        </w:numPr>
      </w:pPr>
      <w:r>
        <w:t xml:space="preserve">Domini financer: vendre accions.</w:t>
      </w:r>
    </w:p>
    <w:p>
      <w:pPr>
        <w:pStyle w:val="Compact"/>
        <w:numPr>
          <w:ilvl w:val="0"/>
          <w:numId w:val="1012"/>
        </w:numPr>
      </w:pPr>
      <w:r>
        <w:t xml:space="preserve">Necessitat: preu actual del ticker.</w:t>
      </w:r>
    </w:p>
    <w:p>
      <w:pPr>
        <w:pStyle w:val="Compact"/>
        <w:numPr>
          <w:ilvl w:val="0"/>
          <w:numId w:val="1012"/>
        </w:numPr>
      </w:pPr>
      <w:r>
        <w:t xml:space="preserve">Port:</w:t>
      </w:r>
      <w:r>
        <w:t xml:space="preserve"> </w:t>
      </w:r>
      <w:r>
        <w:rPr>
          <w:rStyle w:val="VerbatimChar"/>
        </w:rPr>
        <w:t xml:space="preserve">StockPriceProviderPort</w:t>
      </w:r>
      <w:r>
        <w:t xml:space="preserve">.</w:t>
      </w:r>
    </w:p>
    <w:p>
      <w:pPr>
        <w:pStyle w:val="Compact"/>
        <w:numPr>
          <w:ilvl w:val="0"/>
          <w:numId w:val="1012"/>
        </w:numPr>
      </w:pPr>
      <w:r>
        <w:t xml:space="preserve">Adaptadors: Finnhub, Alpha Vantage, mock.</w:t>
      </w:r>
    </w:p>
    <w:p>
      <w:pPr>
        <w:pStyle w:val="Compact"/>
        <w:numPr>
          <w:ilvl w:val="0"/>
          <w:numId w:val="1012"/>
        </w:numPr>
      </w:pPr>
      <w:r>
        <w:t xml:space="preserve">Transició: veure el flux i el codi essencial.</w:t>
      </w:r>
    </w:p>
    <w:bookmarkEnd w:id="34"/>
    <w:bookmarkStart w:id="35" w:name="flux-i-codi---140"/>
    <w:p>
      <w:pPr>
        <w:pStyle w:val="Heading3"/>
      </w:pPr>
      <w:r>
        <w:t xml:space="preserve">11. Flux i codi - 1:40</w:t>
      </w:r>
    </w:p>
    <w:p>
      <w:pPr>
        <w:pStyle w:val="Compact"/>
        <w:numPr>
          <w:ilvl w:val="0"/>
          <w:numId w:val="1013"/>
        </w:numPr>
      </w:pPr>
      <w:r>
        <w:t xml:space="preserve">Diagrama de seqüència = flux temporal, no dependència de codi.</w:t>
      </w:r>
    </w:p>
    <w:p>
      <w:pPr>
        <w:pStyle w:val="Compact"/>
        <w:numPr>
          <w:ilvl w:val="0"/>
          <w:numId w:val="1013"/>
        </w:numPr>
      </w:pPr>
      <w:r>
        <w:t xml:space="preserve">Controller -&gt; port d’entrada -&gt; servei.</w:t>
      </w:r>
    </w:p>
    <w:p>
      <w:pPr>
        <w:pStyle w:val="Compact"/>
        <w:numPr>
          <w:ilvl w:val="0"/>
          <w:numId w:val="1013"/>
        </w:numPr>
      </w:pPr>
      <w:r>
        <w:t xml:space="preserve">Servei consulta ports i delega venda al domini.</w:t>
      </w:r>
    </w:p>
    <w:p>
      <w:pPr>
        <w:pStyle w:val="Compact"/>
        <w:numPr>
          <w:ilvl w:val="0"/>
          <w:numId w:val="1013"/>
        </w:numPr>
      </w:pPr>
      <w:r>
        <w:t xml:space="preserve">Domini decideix; adaptador integra.</w:t>
      </w:r>
    </w:p>
    <w:p>
      <w:pPr>
        <w:pStyle w:val="Compact"/>
        <w:numPr>
          <w:ilvl w:val="0"/>
          <w:numId w:val="1013"/>
        </w:numPr>
      </w:pPr>
      <w:r>
        <w:t xml:space="preserve">Transició: demo controlada amb adaptador substituïble.</w:t>
      </w:r>
    </w:p>
    <w:bookmarkEnd w:id="35"/>
    <w:bookmarkStart w:id="36" w:name="demo---140"/>
    <w:p>
      <w:pPr>
        <w:pStyle w:val="Heading3"/>
      </w:pPr>
      <w:r>
        <w:t xml:space="preserve">12. Demo - 1:40</w:t>
      </w:r>
    </w:p>
    <w:p>
      <w:pPr>
        <w:pStyle w:val="Compact"/>
        <w:numPr>
          <w:ilvl w:val="0"/>
          <w:numId w:val="1014"/>
        </w:numPr>
      </w:pPr>
      <w:r>
        <w:t xml:space="preserve">Mateix cas d’ús, servei i domini.</w:t>
      </w:r>
    </w:p>
    <w:p>
      <w:pPr>
        <w:pStyle w:val="Compact"/>
        <w:numPr>
          <w:ilvl w:val="0"/>
          <w:numId w:val="1014"/>
        </w:numPr>
      </w:pPr>
      <w:r>
        <w:t xml:space="preserve">Canvia l’adaptador.</w:t>
      </w:r>
    </w:p>
    <w:p>
      <w:pPr>
        <w:pStyle w:val="Compact"/>
        <w:numPr>
          <w:ilvl w:val="0"/>
          <w:numId w:val="1014"/>
        </w:numPr>
      </w:pPr>
      <w:r>
        <w:t xml:space="preserve">Perfils: Finnhub, Alpha Vantage, mock.</w:t>
      </w:r>
    </w:p>
    <w:p>
      <w:pPr>
        <w:pStyle w:val="Compact"/>
        <w:numPr>
          <w:ilvl w:val="0"/>
          <w:numId w:val="1014"/>
        </w:numPr>
      </w:pPr>
      <w:r>
        <w:t xml:space="preserve">Utilitat docent: proves sense internet ni claus.</w:t>
      </w:r>
    </w:p>
    <w:p>
      <w:pPr>
        <w:pStyle w:val="Compact"/>
        <w:numPr>
          <w:ilvl w:val="0"/>
          <w:numId w:val="1014"/>
        </w:numPr>
      </w:pPr>
      <w:r>
        <w:t xml:space="preserve">Transició: conclusió final.</w:t>
      </w:r>
    </w:p>
    <w:bookmarkEnd w:id="36"/>
    <w:bookmarkStart w:id="37" w:name="agraïment---100"/>
    <w:p>
      <w:pPr>
        <w:pStyle w:val="Heading3"/>
      </w:pPr>
      <w:r>
        <w:t xml:space="preserve">13. Agraïment - 1:00</w:t>
      </w:r>
    </w:p>
    <w:p>
      <w:pPr>
        <w:pStyle w:val="Compact"/>
        <w:numPr>
          <w:ilvl w:val="0"/>
          <w:numId w:val="1015"/>
        </w:numPr>
      </w:pPr>
      <w:r>
        <w:t xml:space="preserve">Arquitectura no elimina canvi; el localitza.</w:t>
      </w:r>
    </w:p>
    <w:p>
      <w:pPr>
        <w:pStyle w:val="Compact"/>
        <w:numPr>
          <w:ilvl w:val="0"/>
          <w:numId w:val="1015"/>
        </w:numPr>
      </w:pPr>
      <w:r>
        <w:t xml:space="preserve">Canviar adaptador, no cas d’ús ni domini.</w:t>
      </w:r>
    </w:p>
    <w:p>
      <w:pPr>
        <w:pStyle w:val="Compact"/>
        <w:numPr>
          <w:ilvl w:val="0"/>
          <w:numId w:val="1015"/>
        </w:numPr>
      </w:pPr>
      <w:r>
        <w:t xml:space="preserve">Agraïment TecnoCampus.</w:t>
      </w:r>
    </w:p>
    <w:p>
      <w:pPr>
        <w:pStyle w:val="Compact"/>
        <w:numPr>
          <w:ilvl w:val="0"/>
          <w:numId w:val="1015"/>
        </w:numPr>
      </w:pPr>
      <w:r>
        <w:t xml:space="preserve">Agraïment Dr. Josep Roure.</w:t>
      </w:r>
    </w:p>
    <w:p>
      <w:pPr>
        <w:pStyle w:val="Compact"/>
        <w:numPr>
          <w:ilvl w:val="0"/>
          <w:numId w:val="1015"/>
        </w:numPr>
      </w:pPr>
      <w:r>
        <w:t xml:space="preserve">Tancar mirant el tribunal:</w:t>
      </w:r>
      <w:r>
        <w:t xml:space="preserve"> </w:t>
      </w:r>
      <w:r>
        <w:rPr>
          <w:rStyle w:val="VerbatimChar"/>
        </w:rPr>
        <w:t xml:space="preserve">Moltes gràcies</w:t>
      </w:r>
      <w:r>
        <w:t xml:space="preserve">.</w:t>
      </w:r>
    </w:p>
    <w:bookmarkEnd w:id="37"/>
    <w:bookmarkEnd w:id="38"/>
    <w:bookmarkStart w:id="39"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d’aprenentatge</w:t>
            </w:r>
          </w:p>
        </w:tc>
      </w:tr>
      <w:tr>
        <w:tc>
          <w:tcPr/>
          <w:p>
            <w:pPr>
              <w:pStyle w:val="Compact"/>
            </w:pPr>
            <w:r>
              <w:t xml:space="preserve">3</w:t>
            </w:r>
          </w:p>
        </w:tc>
        <w:tc>
          <w:tcPr/>
          <w:p>
            <w:pPr>
              <w:pStyle w:val="Compact"/>
            </w:pPr>
            <w:r>
              <w:t xml:space="preserve">Capacitat, no tecnologia</w:t>
            </w:r>
          </w:p>
        </w:tc>
        <w:tc>
          <w:tcPr/>
          <w:p>
            <w:pPr>
              <w:pStyle w:val="Compact"/>
            </w:pPr>
            <w:r>
              <w:t xml:space="preserve">Dependències cap al nucli</w:t>
            </w:r>
          </w:p>
        </w:tc>
        <w:tc>
          <w:tcPr/>
          <w:p>
            <w:pPr>
              <w:pStyle w:val="Compact"/>
            </w:pPr>
            <w:r>
              <w:t xml:space="preserve">Assignatura</w:t>
            </w:r>
          </w:p>
        </w:tc>
        <w:tc>
          <w:tcPr/>
          <w:p>
            <w:pPr>
              <w:pStyle w:val="Compact"/>
            </w:pPr>
            <w:r>
              <w:t xml:space="preserve">Accions observables</w:t>
            </w:r>
          </w:p>
        </w:tc>
      </w:tr>
      <w:tr>
        <w:tc>
          <w:tcPr/>
          <w:p>
            <w:pPr>
              <w:pStyle w:val="Compact"/>
            </w:pPr>
            <w:r>
              <w:t xml:space="preserve">4</w:t>
            </w:r>
          </w:p>
        </w:tc>
        <w:tc>
          <w:tcPr/>
          <w:p>
            <w:pPr>
              <w:pStyle w:val="Compact"/>
            </w:pPr>
            <w:r>
              <w:t xml:space="preserve">Identificar, definir, implementar</w:t>
            </w:r>
          </w:p>
        </w:tc>
        <w:tc>
          <w:tcPr/>
          <w:p>
            <w:pPr>
              <w:pStyle w:val="Compact"/>
            </w:pPr>
            <w:r>
              <w:t xml:space="preserve">Port com a contracte</w:t>
            </w:r>
          </w:p>
        </w:tc>
        <w:tc>
          <w:tcPr/>
          <w:p>
            <w:pPr>
              <w:pStyle w:val="Compact"/>
            </w:pPr>
            <w:r>
              <w:t xml:space="preserve">Principi</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10</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11</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12</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13</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cas real -&gt; assignatura -&gt; objectiu -&gt; procediment -&gt; dada externa -&gt; acoblament -&gt; port -&gt; adaptador -&gt; HexaStock -&gt; flux -&gt; demo -&gt; conclusió</w:t>
      </w:r>
      <w:r>
        <w:t xml:space="preserve">.</w:t>
      </w:r>
    </w:p>
    <w:bookmarkEnd w:id="39"/>
    <w:bookmarkStart w:id="40"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6"/>
        </w:numPr>
      </w:pPr>
      <w:r>
        <w:t xml:space="preserve">Bloc 1: diapositives 1-4, context i objectiu.</w:t>
      </w:r>
    </w:p>
    <w:p>
      <w:pPr>
        <w:pStyle w:val="Compact"/>
        <w:numPr>
          <w:ilvl w:val="0"/>
          <w:numId w:val="1016"/>
        </w:numPr>
      </w:pPr>
      <w:r>
        <w:t xml:space="preserve">Bloc 2: diapositives 5-9, cas AGAUR i port de sortida.</w:t>
      </w:r>
    </w:p>
    <w:p>
      <w:pPr>
        <w:pStyle w:val="Compact"/>
        <w:numPr>
          <w:ilvl w:val="0"/>
          <w:numId w:val="1016"/>
        </w:numPr>
      </w:pPr>
      <w:r>
        <w:t xml:space="preserve">Bloc 3: diapositives 10-13,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7"/>
        </w:numPr>
      </w:pPr>
      <w:r>
        <w:t xml:space="preserve">Primera passada: amb guió complet a la mà.</w:t>
      </w:r>
    </w:p>
    <w:p>
      <w:pPr>
        <w:pStyle w:val="Compact"/>
        <w:numPr>
          <w:ilvl w:val="0"/>
          <w:numId w:val="1017"/>
        </w:numPr>
      </w:pPr>
      <w:r>
        <w:t xml:space="preserve">Segona passada: només amb notes del presentador.</w:t>
      </w:r>
    </w:p>
    <w:p>
      <w:pPr>
        <w:pStyle w:val="Compact"/>
        <w:numPr>
          <w:ilvl w:val="0"/>
          <w:numId w:val="1017"/>
        </w:numPr>
      </w:pPr>
      <w:r>
        <w:t xml:space="preserve">Tercera passada: només amb l’esquema de memorització.</w:t>
      </w:r>
    </w:p>
    <w:p>
      <w:pPr>
        <w:pStyle w:val="FirstParagraph"/>
      </w:pPr>
      <w:r>
        <w:t xml:space="preserve">Grava una passada en vídeo. Revisa només quatre indicadors: si mires massa la pantalla, si acceleres a les diapositives 7-11,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40"/>
    <w:bookmarkStart w:id="41" w:name="advertiments-finals"/>
    <w:p>
      <w:pPr>
        <w:pStyle w:val="Heading2"/>
      </w:pPr>
      <w:r>
        <w:t xml:space="preserve">7. Advertiments finals</w:t>
      </w:r>
    </w:p>
    <w:p>
      <w:pPr>
        <w:pStyle w:val="FirstParagraph"/>
      </w:pPr>
      <w:r>
        <w:t xml:space="preserve">Risc de temps: les diapositives 5-11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2026-06-30T20:22:40Z</dcterms:created>
  <dcterms:modified xsi:type="dcterms:W3CDTF">2026-06-30T20:22:40Z</dcterms:modified>
</cp:coreProperties>
</file>

<file path=docProps/custom.xml><?xml version="1.0" encoding="utf-8"?>
<Properties xmlns="http://schemas.openxmlformats.org/officeDocument/2006/custom-properties" xmlns:vt="http://schemas.openxmlformats.org/officeDocument/2006/docPropsVTypes"/>
</file>