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urn:schemas-microsoft-com:vml" xmlns:ns2="urn:schemas-microsoft-com:office:office" xmlns:w="http://schemas.openxmlformats.org/wordprocessingml/2006/main">
  <w:body>
    <w:bookmarkStart w:id="33" w:name="X0e91efcdfc21fc1542c629021a59166df219849"/>
    <w:p>
      <w:pPr>
        <w:pStyle w:val="Heading1"/>
      </w:pPr>
      <w:r>
        <w:t xml:space="preserve">Materials orals canònics per a la trajectòria de 10 minuts</w:t>
      </w:r>
    </w:p>
    <w:p>
      <w:pPr>
        <w:pStyle w:val="FirstParagraph"/>
      </w:pPr>
      <w:r>
        <w:t xml:space="preserve">Fonts canòniques utilitzades: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/Users/alfre/Library/CloudStorage/OneDrive-TecnocampusMataro-Maresme/Doctorat/Tesis Doctoral/RepositorioGitHub/Preparación documentación Plaza Profesor TecnoCampus/CV TecnoCampus/Versiones/cv-academic-tecnocampus-alfredo-rueda-unsain-v4.pdf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/Users/alfre/Library/CloudStorage/OneDrive-TecnocampusMataro-Maresme/Doctorat/Tesis Doctoral/RepositorioGitHub/Preparación documentación Plaza Profesor TecnoCampus/CV TecnoCampus/Documentación Tesis Doctoral/versión final plan de investigación.pdf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IMPORTANTE_MANUAL_defensa-dsi-ports-sortida-hexagonal.pptx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materials-orals-canonics-20-minuts.md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REMARKABLE_materials-orals-canonics-20-minuts.pdf</w:t>
      </w:r>
    </w:p>
    <w:p>
      <w:pPr>
        <w:pStyle w:val="FirstParagraph"/>
      </w:pPr>
      <w:r>
        <w:t xml:space="preserve">Fonts públiques de contrast per a Vida Software:</w:t>
      </w:r>
    </w:p>
    <w:p>
      <w:pPr>
        <w:pStyle w:val="Compact"/>
        <w:numPr>
          <w:ilvl w:val="0"/>
          <w:numId w:val="1002"/>
        </w:numPr>
      </w:pPr>
      <w:r>
        <w:t xml:space="preserve">Speech Technology Magazine:</w:t>
      </w:r>
      <w:r>
        <w:t xml:space="preserve"> </w:t>
      </w:r>
      <w:r>
        <w:rPr>
          <w:rStyle w:val="VerbatimChar"/>
        </w:rPr>
        <w:t xml:space="preserve">VIDA Software Releases Native C++ and Java Natural Interaction APIs for Symbian OS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W3C Workshop on Multimodal Interaction:</w:t>
      </w:r>
      <w:r>
        <w:t xml:space="preserve"> </w:t>
      </w:r>
      <w:r>
        <w:rPr>
          <w:rStyle w:val="VerbatimChar"/>
        </w:rPr>
        <w:t xml:space="preserve">Natural Interaction for Multimodal Mobile Devices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Forum Nokia Consumer Applications: referència a</w:t>
      </w:r>
      <w:r>
        <w:t xml:space="preserve"> </w:t>
      </w:r>
      <w:r>
        <w:rPr>
          <w:rStyle w:val="VerbatimChar"/>
        </w:rPr>
        <w:t xml:space="preserve">Natural Interaction Platform</w:t>
      </w:r>
      <w:r>
        <w:t xml:space="preserve">, J2ME i Symbian OS.</w:t>
      </w:r>
    </w:p>
    <w:p>
      <w:pPr>
        <w:pStyle w:val="Compact"/>
        <w:numPr>
          <w:ilvl w:val="0"/>
          <w:numId w:val="1002"/>
        </w:numPr>
      </w:pPr>
      <w:r>
        <w:t xml:space="preserve">Google Patents: patent internacional</w:t>
      </w:r>
      <w:r>
        <w:t xml:space="preserve"> </w:t>
      </w:r>
      <w:r>
        <w:rPr>
          <w:rStyle w:val="VerbatimChar"/>
        </w:rPr>
        <w:t xml:space="preserve">WO2007141498A1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 interfaces for electronic devices</w:t>
      </w:r>
      <w:r>
        <w:t xml:space="preserve">, assignada a Vida Software S.L.</w:t>
      </w:r>
    </w:p>
    <w:p>
      <w:pPr>
        <w:pStyle w:val="FirstParagraph"/>
      </w:pPr>
      <w:r>
        <w:t xml:space="preserve">Nota de versió: aquests materials són independents de la classe magistral de 20 minuts. La seva funció és donar suport a la primera part de la defensa de la plaça: trajectòria professional, acadèmica i científica. La presentació està limitada a 6 diapositives i a una durada aproximada de 10 minuts. Després del tancament hi ha una diapositiva d’annex,</w:t>
      </w:r>
      <w:r>
        <w:t xml:space="preserve"> </w:t>
      </w:r>
      <w:r>
        <w:rPr>
          <w:rStyle w:val="VerbatimChar"/>
        </w:rPr>
        <w:t xml:space="preserve">Annex A. Contrast d'orientació curricular</w:t>
      </w:r>
      <w:r>
        <w:t xml:space="preserve">, que no forma part de la numeració 1-6 ni del temps principal: és material de reserva exclusiu per al torn de preguntes.</w:t>
      </w:r>
    </w:p>
    <w:p>
      <w:r>
        <w:pict>
          <ns1:rect style="width:0;height:1.5pt" ns2:hralign="center" ns2:hrstd="t" ns2:hr="t"/>
        </w:pict>
      </w:r>
    </w:p>
    <w:bookmarkStart w:id="15" w:name="guió-oral-complet-imprimible"/>
    <w:p>
      <w:pPr>
        <w:pStyle w:val="Heading2"/>
      </w:pPr>
      <w:r>
        <w:t xml:space="preserve">1. Guió oral complet imprimible</w:t>
      </w:r>
    </w:p>
    <w:p>
      <w:pPr>
        <w:pStyle w:val="FirstParagraph"/>
      </w:pPr>
      <w:r>
        <w:t xml:space="preserve">Temps total previst d’assaig: 9:00-9:20 aproximadament, amb pauses reals. Si l’assaig supera els 10:00, aplica la versió curta d’emergència de la diapositiva 4.</w:t>
      </w:r>
    </w:p>
    <w:bookmarkStart w:id="9" w:name="X955f66c7fc938677aca3c0234d4f82c1654e8a5"/>
    <w:p>
      <w:pPr>
        <w:pStyle w:val="Heading3"/>
      </w:pPr>
      <w:r>
        <w:t xml:space="preserve">Diapositiva 1. Trajectòria professional, acadèmica i científica - 0:50</w:t>
      </w:r>
    </w:p>
    <w:p>
      <w:pPr>
        <w:pStyle w:val="FirstParagraph"/>
      </w:pPr>
      <w:r>
        <w:t xml:space="preserve">Bon dia, membres del tribunal. Moltes gràcies per l’oportunitat de presentar aquesta trajectòria. [mirada al tribunal]</w:t>
      </w:r>
    </w:p>
    <w:p>
      <w:pPr>
        <w:pStyle w:val="BodyText"/>
      </w:pPr>
      <w:r>
        <w:t xml:space="preserve">La meva trajectòria comença el 2004 i té un fil conductor: l’enginyeria del software. Primer, com a enginyer a la indústria. Després, com a professor. I avui, també com a investigador: faig recerca en Educació en Enginyeria del Software. [pausa breu]</w:t>
      </w:r>
    </w:p>
    <w:p>
      <w:pPr>
        <w:pStyle w:val="BodyText"/>
      </w:pPr>
      <w:r>
        <w:t xml:space="preserve">Aquest és el recorregut que presentaré: base professional, vocació docent, pas a la universitat, consolidació al TecnoCampus i projecte de futur.</w:t>
      </w:r>
    </w:p>
    <w:bookmarkEnd w:id="9"/>
    <w:bookmarkStart w:id="10" w:name="Xd14c9db4fc52b05d6bd387f4cf590104a51d41a"/>
    <w:p>
      <w:pPr>
        <w:pStyle w:val="Heading3"/>
      </w:pPr>
      <w:r>
        <w:t xml:space="preserve">Diapositiva 2. Primera etapa: enginyeria del software i consultoria - 1:30</w:t>
      </w:r>
    </w:p>
    <w:p>
      <w:pPr>
        <w:pStyle w:val="FirstParagraph"/>
      </w:pPr>
      <w:r>
        <w:t xml:space="preserve">La primera etapa transcorre en la indústria del software. [to calmat]</w:t>
      </w:r>
    </w:p>
    <w:p>
      <w:pPr>
        <w:pStyle w:val="BodyText"/>
      </w:pPr>
      <w:r>
        <w:t xml:space="preserve">A Vida Software vaig treballar en un component del sistema operatiu Symbian orientat a incorporar interacció per veu en aplicacions mòbils. Era una peça de plataforma desenvolupada a baix nivell en C++, amb restriccions fortes de memòria, CPU i xarxa. El component es va presentar en entorns com el 3GSM/Mobile World Congress i estava vinculat al context d’innovació d’una patent de Vida Software sobre interfícies d’usuari.</w:t>
      </w:r>
    </w:p>
    <w:p>
      <w:pPr>
        <w:pStyle w:val="BodyText"/>
      </w:pPr>
      <w:r>
        <w:t xml:space="preserve">Va ser una etapa tècnicament molt exigent i estimulant, que em va donar una base sòlida en sistemes i comunicacions. Al mateix temps, em va ajudar a identificar una altra dimensió que volia desenvolupar: el treball amb les persones, la comunicació i la construcció compartida de coneixement.</w:t>
      </w:r>
    </w:p>
    <w:p>
      <w:pPr>
        <w:pStyle w:val="BodyText"/>
      </w:pPr>
      <w:r>
        <w:t xml:space="preserve">Per això vaig fer el pas a la consultoria, a openTrends, on vaig ampliar aquesta base cap a Java, Linux, Spring, sistemes d’informació, clients i equips. Allà la comunicació tècnica va guanyar pes: entendre necessitats, explicar decisions i fer mentoria a enginyers júniors.</w:t>
      </w:r>
    </w:p>
    <w:p>
      <w:pPr>
        <w:pStyle w:val="BodyText"/>
      </w:pPr>
      <w:r>
        <w:t xml:space="preserve">La transició cap a la docència va ser, doncs, una evolució natural d’aquesta mateixa trajectòria professional.</w:t>
      </w:r>
    </w:p>
    <w:bookmarkEnd w:id="10"/>
    <w:bookmarkStart w:id="11" w:name="X8f1b53b5610d6a0c742d40bf35583d23a786a28"/>
    <w:p>
      <w:pPr>
        <w:pStyle w:val="Heading3"/>
      </w:pPr>
      <w:r>
        <w:t xml:space="preserve">Diapositiva 3. Formació Professional: el descobriment clar de la vocació docent - 1:10</w:t>
      </w:r>
    </w:p>
    <w:p>
      <w:pPr>
        <w:pStyle w:val="FirstParagraph"/>
      </w:pPr>
      <w:r>
        <w:t xml:space="preserve">Per donar consistència a aquesta decisió vaig cursar el màster en Formació del Professorat i vaig iniciar una etapa docent en Formació Professional, en l’àmbit de DAW i DAM. [pausa breu]</w:t>
      </w:r>
    </w:p>
    <w:p>
      <w:pPr>
        <w:pStyle w:val="BodyText"/>
      </w:pPr>
      <w:r>
        <w:t xml:space="preserve">A la Formació Professional vaig trobar allò que buscava des de feia temps: l’aula, la relació directa amb l’alumnat i la responsabilitat d’acompanyar processos d’aprenentatge.</w:t>
      </w:r>
    </w:p>
    <w:p>
      <w:pPr>
        <w:pStyle w:val="BodyText"/>
      </w:pPr>
      <w:r>
        <w:t xml:space="preserve">Va ser una etapa molt valuosa. Em va ajudar a aprendre a ensenyar, a escoltar millor i a entendre que la docència no és només transmetre contingut tècnic. També és crear condicions perquè l’estudiant pugui avançar, equivocar-se, recuperar confiança i aprendre a treballar en equip.</w:t>
      </w:r>
    </w:p>
    <w:p>
      <w:pPr>
        <w:pStyle w:val="BodyText"/>
      </w:pPr>
      <w:r>
        <w:t xml:space="preserve">Amb el temps, volia portar a l’aula continguts més avançats: enginyeria del software, arquitectura de software i disseny de sistemes d’informació, recolzats en la meva experiència professional. El lloc natural d’aquests continguts és la universitat, i cap allà vaig orientar la mirada.</w:t>
      </w:r>
    </w:p>
    <w:bookmarkEnd w:id="11"/>
    <w:bookmarkStart w:id="12" w:name="X81009d6c26c5fdd77402dc2b49454f763e8952d"/>
    <w:p>
      <w:pPr>
        <w:pStyle w:val="Heading3"/>
      </w:pPr>
      <w:r>
        <w:t xml:space="preserve">Diapositiva 4. De La Salle al TecnoCampus - 1:55</w:t>
      </w:r>
    </w:p>
    <w:p>
      <w:pPr>
        <w:pStyle w:val="FirstParagraph"/>
      </w:pPr>
      <w:r>
        <w:t xml:space="preserve">Em vaig incorporar a La Salle, un entorn universitari d’alt nivell tècnic. [transició]</w:t>
      </w:r>
    </w:p>
    <w:p>
      <w:pPr>
        <w:pStyle w:val="BodyText"/>
      </w:pPr>
      <w:r>
        <w:t xml:space="preserve">Allà vaig impartir assignatures de programació, sistemes operatius i vaig dissenyar una experiència ABP a Projectes de Programació II. És una etapa que valoro molt: em va obrir la docència universitària i em va permetre portar a l’aula coneixement tècnic avançat.</w:t>
      </w:r>
    </w:p>
    <w:p>
      <w:pPr>
        <w:pStyle w:val="BodyText"/>
      </w:pPr>
      <w:r>
        <w:t xml:space="preserve">El pas cap al TecnoCampus va ser una decisió reflexionada, valorada amb la direcció i la coordinació acadèmica. [pausa breu]</w:t>
      </w:r>
    </w:p>
    <w:p>
      <w:pPr>
        <w:pStyle w:val="BodyText"/>
      </w:pPr>
      <w:r>
        <w:t xml:space="preserve">La Salle té una tradició d’enginyeria sòlida, amb una identitat històrica molt forta en telecomunicacions i electrònica. La meva docència allà se centrava en els fonaments: el disseny i la programació orientats a objectes, i el desenvolupament d’aplicacions mòbils. Són la llavor de l’enginyeria del software, i em va agradar molt ensenyar-los. Però el meu territori professional és el tram següent d’aquest mateix camí: l’arquitectura de software, el backend empresarial i els sistemes d’informació. [mirada al tribunal]</w:t>
      </w:r>
    </w:p>
    <w:p>
      <w:pPr>
        <w:pStyle w:val="BodyText"/>
      </w:pPr>
      <w:r>
        <w:t xml:space="preserve">I aquest tram tenia un encaix curricular directe al TecnoCampus: la gestió i els sistemes d’informació formen part de la mateixa denominació del grau, amb una línia completa d’enginyeria del software i de disseny de sistemes d’informació. És un entorn especialment alineat amb el desenvolupament de la meva especialització docent.</w:t>
      </w:r>
    </w:p>
    <w:p>
      <w:pPr>
        <w:pStyle w:val="BodyText"/>
      </w:pPr>
      <w:r>
        <w:t xml:space="preserve">La proximitat geogràfica va reforçar la decisió, perquè feia la trajectòria acadèmica sostenible i compatible amb les responsabilitats familiars.</w:t>
      </w:r>
    </w:p>
    <w:p>
      <w:pPr>
        <w:pStyle w:val="BodyText"/>
      </w:pPr>
      <w:r>
        <w:t xml:space="preserve">Vaig establir contacte acadèmic amb el TecnoCampus i vaig començar-hi com a professor associat.</w:t>
      </w:r>
    </w:p>
    <w:bookmarkEnd w:id="12"/>
    <w:bookmarkStart w:id="13" w:name="X5d41084c58d6ec1395fdad0ba13ce409d532c19"/>
    <w:p>
      <w:pPr>
        <w:pStyle w:val="Heading3"/>
      </w:pPr>
      <w:r>
        <w:t xml:space="preserve">Diapositiva 5. TecnoCampus: docència, equip i arquitectura de software - 1:20</w:t>
      </w:r>
    </w:p>
    <w:p>
      <w:pPr>
        <w:pStyle w:val="FirstParagraph"/>
      </w:pPr>
      <w:r>
        <w:t xml:space="preserve">El TecnoCampus ha estat el lloc on aquesta trajectòria ha trobat més coherència. [pausa breu]</w:t>
      </w:r>
    </w:p>
    <w:p>
      <w:pPr>
        <w:pStyle w:val="BodyText"/>
      </w:pPr>
      <w:r>
        <w:t xml:space="preserve">Des de 2021 hi he desenvolupat docència universitària continuada en assignatures vinculades a programació, estructures de dades, aplicacions d’Internet i disseny de sistemes d’informació.</w:t>
      </w:r>
    </w:p>
    <w:p>
      <w:pPr>
        <w:pStyle w:val="BodyText"/>
      </w:pPr>
      <w:r>
        <w:t xml:space="preserve">Aquesta continuïtat no és només temporal. El certificat institucional recull quinze registres oficials d’avaluació docent, entre els cursos 2021-2022 i 2025-2026, amb una mitjana aritmètica simple de 8,75 sobre 10. I els quatre registres dels dos darrers cursos presenten una mitjana aritmètica simple de 9,03 sobre 10.</w:t>
      </w:r>
    </w:p>
    <w:p>
      <w:pPr>
        <w:pStyle w:val="BodyText"/>
      </w:pPr>
      <w:r>
        <w:t xml:space="preserve">També ha estat molt important el treball amb l’equip. Voldria destacar especialment el Dr. Josep Roure, amb qui he compartit docència i aprenentatge en arquitectura de software.</w:t>
      </w:r>
    </w:p>
    <w:p>
      <w:pPr>
        <w:pStyle w:val="BodyText"/>
      </w:pPr>
      <w:r>
        <w:t xml:space="preserve">La participació acreditada en el projecte SQAI d’Aprenentatge Basat en Projectes a Laboratori d’Aplicacions Internet m’ha permès integrar docència, arquitectura de software i millora educativa.</w:t>
      </w:r>
    </w:p>
    <w:p>
      <w:pPr>
        <w:pStyle w:val="BodyText"/>
      </w:pPr>
      <w:r>
        <w:t xml:space="preserve">D’aquest punt de trobada neix precisament la classe magistral de la segona part.</w:t>
      </w:r>
    </w:p>
    <w:bookmarkEnd w:id="13"/>
    <w:bookmarkStart w:id="14" w:name="Xe694bcf830e70299140e7858bd4177d134c259a"/>
    <w:p>
      <w:pPr>
        <w:pStyle w:val="Heading3"/>
      </w:pPr>
      <w:r>
        <w:t xml:space="preserve">Diapositiva 6. Consultoria i formació internacional, recerca doctoral i projecte de futur - 2:00</w:t>
      </w:r>
    </w:p>
    <w:p>
      <w:pPr>
        <w:pStyle w:val="FirstParagraph"/>
      </w:pPr>
      <w:r>
        <w:t xml:space="preserve">En paral·lel, he mantingut una línia de transferència universitat-empresa i formació internacional. [transició]</w:t>
      </w:r>
    </w:p>
    <w:p>
      <w:pPr>
        <w:pStyle w:val="BodyText"/>
      </w:pPr>
      <w:r>
        <w:t xml:space="preserve">Disposo del C1 Advanced de Cambridge i l’anglès és una llengua de treball real. En el marc de Neueda he impartit, en anglès, formació internacional sobre enginyeria del software, vinculada a Java, Spring, arquitectura i qualitat.</w:t>
      </w:r>
    </w:p>
    <w:p>
      <w:pPr>
        <w:pStyle w:val="BodyText"/>
      </w:pPr>
      <w:r>
        <w:t xml:space="preserve">També he desenvolupat activitats de transferència, com les 60 hores acreditades amb AGAUR sobre serveis REST, arquitectura hexagonal i modernització de sistemes d’informació.</w:t>
      </w:r>
    </w:p>
    <w:p>
      <w:pPr>
        <w:pStyle w:val="BodyText"/>
      </w:pPr>
      <w:r>
        <w:t xml:space="preserve">El doctorat a la UDIMA representa l’articulació científica d’aquest recorregut. La recerca s’inscriu en l’àmbit de l’Educació en Enginyeria del Software. La literatura internacional recent hi identifica un buit: la integració curricular, la mesura i els estudis longitudinals d’aquestes competències.</w:t>
      </w:r>
    </w:p>
    <w:p>
      <w:pPr>
        <w:pStyle w:val="BodyText"/>
      </w:pPr>
      <w:r>
        <w:t xml:space="preserve">La tesi se situa en aquest espai mitjançant un disseny mixt i quasiexperimental, integrat en dues assignatures reals amb ABP, amb pretest, posttest, seguiment diferit i component qualitatiu. No pretén substituir la formació tècnica; pretén estudiar com complementar-la amb competències vinculades a requisits, usuaris, parts interessades, col·laboració i disseny responsable.</w:t>
      </w:r>
    </w:p>
    <w:p>
      <w:pPr>
        <w:pStyle w:val="BodyText"/>
      </w:pPr>
      <w:r>
        <w:t xml:space="preserve">Per això, entenc aquesta plaça com la possibilitat de consolidar un projecte acadèmic ja vinculat al TecnoCampus: docència rigorosa, innovació educativa, transferència, recerca i acompanyament de l’alumnat. [mirada al tribunal]</w:t>
      </w:r>
    </w:p>
    <w:p>
      <w:pPr>
        <w:pStyle w:val="BodyText"/>
      </w:pPr>
      <w:r>
        <w:t xml:space="preserve">Com a continuació d’aquest recorregut, la classe magistral que presentaré a continuació se situa precisament en aquest punt de trobada entre docència universitària, arquitectura de software i transferència professional.</w:t>
      </w:r>
    </w:p>
    <w:p>
      <w:pPr>
        <w:pStyle w:val="BodyText"/>
      </w:pPr>
      <w:r>
        <w:t xml:space="preserve">Moltes gràcies.</w:t>
      </w:r>
    </w:p>
    <w:p>
      <w:r>
        <w:pict>
          <ns1:rect style="width:0;height:1.5pt" ns2:hralign="center" ns2:hrstd="t" ns2:hr="t"/>
        </w:pict>
      </w:r>
    </w:p>
    <w:bookmarkEnd w:id="14"/>
    <w:bookmarkEnd w:id="15"/>
    <w:bookmarkStart w:id="17" w:name="Xdd17a7567f75bc85227116ec496a3da3b46265c"/>
    <w:p>
      <w:pPr>
        <w:pStyle w:val="Heading2"/>
      </w:pPr>
      <w:r>
        <w:t xml:space="preserve">Annex A. Contrast d’orientació curricular (només per al torn de preguntes)</w:t>
      </w:r>
    </w:p>
    <w:p>
      <w:pPr>
        <w:pStyle w:val="FirstParagraph"/>
      </w:pPr>
      <w:r>
        <w:t xml:space="preserve">Aquest annex no forma part del cos principal de deu minuts ni de la numeració 1-6. Només s’ha de mostrar si el tribunal pregunta pel pas de La Salle al TecnoCampus, qüestiona l’encaix acadèmic o demana concretar la diferència d’orientació entre les titulacions. No s’ha de mostrar sense una pregunta o una necessitat clara, ni utilitzar-lo com a defensa preventiva.</w:t>
      </w:r>
    </w:p>
    <w:bookmarkStart w:id="16" w:name="resposta-oral-de-reserva---30-45-segons"/>
    <w:p>
      <w:pPr>
        <w:pStyle w:val="Heading3"/>
      </w:pPr>
      <w:r>
        <w:t xml:space="preserve">Resposta oral de reserva - 30-45 segons</w:t>
      </w:r>
    </w:p>
    <w:p>
      <w:pPr>
        <w:pStyle w:val="FirstParagraph"/>
      </w:pPr>
      <w:r>
        <w:t xml:space="preserve">El canvi no va respondre a una valoració jeràrquica entre institucions. La Salle em va permetre entrar en la docència universitària dins d’un entorn d’enginyeria molt sòlid, i hi vaig impartir assignatures directament vinculades a la informàtica i al software.</w:t>
      </w:r>
    </w:p>
    <w:p>
      <w:pPr>
        <w:pStyle w:val="BodyText"/>
      </w:pPr>
      <w:r>
        <w:t xml:space="preserve">El contrast entre els plans mostra, però, orientacions curriculars diferents. La Salle manté un pes més marcat en telecomunicacions, electrònica, hardware i xarxes, coherent amb la seva tradició històrica. El grau del TecnoCampus concentra de manera més explícita l’Enginyeria del Software i els Sistemes d’Informació.</w:t>
      </w:r>
    </w:p>
    <w:p>
      <w:pPr>
        <w:pStyle w:val="BodyText"/>
      </w:pPr>
      <w:r>
        <w:t xml:space="preserve">Per això vaig considerar que la meva experiència professional en arquitectura de software, backend, Java i sistemes d’informació podia tenir-hi un encaix més directe. No es tracta que una institució sigui millor que l’altra, sinó d’una major alineació entre especialització professional i projecte acadèmic.</w:t>
      </w:r>
    </w:p>
    <w:p>
      <w:pPr>
        <w:pStyle w:val="BodyText"/>
      </w:pPr>
      <w:r>
        <w:t xml:space="preserve">Quan es mostri l’annex, no llegir tota la taula: assenyalar una diferència d’Enginyeria del Software o Sistemes d’Informació, una de hardware o xarxes, i concloure amb l’encaix acadèmic.</w:t>
      </w:r>
    </w:p>
    <w:p>
      <w:r>
        <w:pict>
          <ns1:rect style="width:0;height:1.5pt" ns2:hralign="center" ns2:hrstd="t" ns2:hr="t"/>
        </w:pict>
      </w:r>
    </w:p>
    <w:bookmarkEnd w:id="16"/>
    <w:bookmarkEnd w:id="17"/>
    <w:bookmarkStart w:id="25" w:name="notes-del-presentador-per-diapositiva"/>
    <w:p>
      <w:pPr>
        <w:pStyle w:val="Heading2"/>
      </w:pPr>
      <w:r>
        <w:t xml:space="preserve">2. Notes del presentador per diapositiva</w:t>
      </w:r>
    </w:p>
    <w:bookmarkStart w:id="18" w:name="trajectòria---050"/>
    <w:p>
      <w:pPr>
        <w:pStyle w:val="Heading3"/>
      </w:pPr>
      <w:r>
        <w:t xml:space="preserve">1. Trajectòria - 0:50</w:t>
      </w:r>
    </w:p>
    <w:p>
      <w:pPr>
        <w:pStyle w:val="Compact"/>
        <w:numPr>
          <w:ilvl w:val="0"/>
          <w:numId w:val="1003"/>
        </w:numPr>
      </w:pPr>
      <w:r>
        <w:t xml:space="preserve">Obrir amb agraïment breu.</w:t>
      </w:r>
    </w:p>
    <w:p>
      <w:pPr>
        <w:pStyle w:val="Compact"/>
        <w:numPr>
          <w:ilvl w:val="0"/>
          <w:numId w:val="1003"/>
        </w:numPr>
      </w:pPr>
      <w:r>
        <w:t xml:space="preserve">No llegir CV: explicar fil conductor.</w:t>
      </w:r>
    </w:p>
    <w:p>
      <w:pPr>
        <w:pStyle w:val="Compact"/>
        <w:numPr>
          <w:ilvl w:val="0"/>
          <w:numId w:val="1003"/>
        </w:numPr>
      </w:pPr>
      <w:r>
        <w:t xml:space="preserve">2004 -&gt; un sol fil conductor: enginyer a la indústria, professor universitari, investigador en com s’ensenya l’enginyeria del software.</w:t>
      </w:r>
    </w:p>
    <w:p>
      <w:pPr>
        <w:pStyle w:val="Compact"/>
        <w:numPr>
          <w:ilvl w:val="0"/>
          <w:numId w:val="1003"/>
        </w:numPr>
      </w:pPr>
      <w:r>
        <w:t xml:space="preserve">Missatge: trajectòria coherent amb la plaça.</w:t>
      </w:r>
    </w:p>
    <w:p>
      <w:pPr>
        <w:pStyle w:val="Compact"/>
        <w:numPr>
          <w:ilvl w:val="0"/>
          <w:numId w:val="1003"/>
        </w:numPr>
      </w:pPr>
      <w:r>
        <w:t xml:space="preserve">Transició: base professional en indústria.</w:t>
      </w:r>
    </w:p>
    <w:bookmarkEnd w:id="18"/>
    <w:bookmarkStart w:id="19" w:name="indústria-i-consultoria---130"/>
    <w:p>
      <w:pPr>
        <w:pStyle w:val="Heading3"/>
      </w:pPr>
      <w:r>
        <w:t xml:space="preserve">2. Indústria i consultoria - 1:30</w:t>
      </w:r>
    </w:p>
    <w:p>
      <w:pPr>
        <w:pStyle w:val="Compact"/>
        <w:numPr>
          <w:ilvl w:val="0"/>
          <w:numId w:val="1004"/>
        </w:numPr>
      </w:pPr>
      <w:r>
        <w:t xml:space="preserve">Vida Software: component del sistema operatiu Symbian per a interacció per veu.</w:t>
      </w:r>
    </w:p>
    <w:p>
      <w:pPr>
        <w:pStyle w:val="Compact"/>
        <w:numPr>
          <w:ilvl w:val="0"/>
          <w:numId w:val="1004"/>
        </w:numPr>
      </w:pPr>
      <w:r>
        <w:t xml:space="preserve">No era una app final: permetia que aplicacions Nokia/Symbian incorporessin veu.</w:t>
      </w:r>
    </w:p>
    <w:p>
      <w:pPr>
        <w:pStyle w:val="Compact"/>
        <w:numPr>
          <w:ilvl w:val="0"/>
          <w:numId w:val="1004"/>
        </w:numPr>
      </w:pPr>
      <w:r>
        <w:t xml:space="preserve">C/C++, rendiment, memòria i dispositiu com a senyals de profunditat tècnica.</w:t>
      </w:r>
    </w:p>
    <w:p>
      <w:pPr>
        <w:pStyle w:val="Compact"/>
        <w:numPr>
          <w:ilvl w:val="0"/>
          <w:numId w:val="1004"/>
        </w:numPr>
      </w:pPr>
      <w:r>
        <w:t xml:space="preserve">3GSM/Mobile World Congress i patent com a context d’innovació; no presentar la patent com a pròpia.</w:t>
      </w:r>
    </w:p>
    <w:p>
      <w:pPr>
        <w:pStyle w:val="Compact"/>
        <w:numPr>
          <w:ilvl w:val="0"/>
          <w:numId w:val="1004"/>
        </w:numPr>
      </w:pPr>
      <w:r>
        <w:t xml:space="preserve">openTrends: consultoria, clients, equips i sistemes d’informació.</w:t>
      </w:r>
    </w:p>
    <w:p>
      <w:pPr>
        <w:pStyle w:val="Compact"/>
        <w:numPr>
          <w:ilvl w:val="0"/>
          <w:numId w:val="1004"/>
        </w:numPr>
      </w:pPr>
      <w:r>
        <w:t xml:space="preserve">Punt clau: el que més gaudia era formar perfils més júniors.</w:t>
      </w:r>
    </w:p>
    <w:p>
      <w:pPr>
        <w:pStyle w:val="Compact"/>
        <w:numPr>
          <w:ilvl w:val="0"/>
          <w:numId w:val="1004"/>
        </w:numPr>
      </w:pPr>
      <w:r>
        <w:t xml:space="preserve">La comunicació passa de ser eina professional a pràctica docent.</w:t>
      </w:r>
    </w:p>
    <w:p>
      <w:pPr>
        <w:pStyle w:val="Compact"/>
        <w:numPr>
          <w:ilvl w:val="0"/>
          <w:numId w:val="1004"/>
        </w:numPr>
      </w:pPr>
      <w:r>
        <w:t xml:space="preserve">Transició: màster en Formació del Professorat i entrada a la Formació Professional.</w:t>
      </w:r>
    </w:p>
    <w:bookmarkEnd w:id="19"/>
    <w:bookmarkStart w:id="20" w:name="stucom---110"/>
    <w:p>
      <w:pPr>
        <w:pStyle w:val="Heading3"/>
      </w:pPr>
      <w:r>
        <w:t xml:space="preserve">3. Stucom - 1:10</w:t>
      </w:r>
    </w:p>
    <w:p>
      <w:pPr>
        <w:pStyle w:val="Compact"/>
        <w:numPr>
          <w:ilvl w:val="0"/>
          <w:numId w:val="1005"/>
        </w:numPr>
      </w:pPr>
      <w:r>
        <w:t xml:space="preserve">Decisió vocacional, no improvisació.</w:t>
      </w:r>
    </w:p>
    <w:p>
      <w:pPr>
        <w:pStyle w:val="Compact"/>
        <w:numPr>
          <w:ilvl w:val="0"/>
          <w:numId w:val="1005"/>
        </w:numPr>
      </w:pPr>
      <w:r>
        <w:t xml:space="preserve">Màster en Formació del Professorat + FP DAW/DAM.</w:t>
      </w:r>
    </w:p>
    <w:p>
      <w:pPr>
        <w:pStyle w:val="Compact"/>
        <w:numPr>
          <w:ilvl w:val="0"/>
          <w:numId w:val="1005"/>
        </w:numPr>
      </w:pPr>
      <w:r>
        <w:t xml:space="preserve">Aula, relació amb alumnat, escolta i acompanyament.</w:t>
      </w:r>
    </w:p>
    <w:p>
      <w:pPr>
        <w:pStyle w:val="Compact"/>
        <w:numPr>
          <w:ilvl w:val="0"/>
          <w:numId w:val="1005"/>
        </w:numPr>
      </w:pPr>
      <w:r>
        <w:t xml:space="preserve">Agraïment a l’FP; no menysvalorar-la.</w:t>
      </w:r>
    </w:p>
    <w:p>
      <w:pPr>
        <w:pStyle w:val="Compact"/>
        <w:numPr>
          <w:ilvl w:val="0"/>
          <w:numId w:val="1005"/>
        </w:numPr>
      </w:pPr>
      <w:r>
        <w:t xml:space="preserve">Evolució cap a continguts tècnics universitaris més avançats.</w:t>
      </w:r>
    </w:p>
    <w:bookmarkEnd w:id="20"/>
    <w:bookmarkStart w:id="21" w:name="de-la-salle-al-tecnocampus---155"/>
    <w:p>
      <w:pPr>
        <w:pStyle w:val="Heading3"/>
      </w:pPr>
      <w:r>
        <w:t xml:space="preserve">4. De La Salle al TecnoCampus - 1:55</w:t>
      </w:r>
    </w:p>
    <w:p>
      <w:pPr>
        <w:pStyle w:val="Compact"/>
        <w:numPr>
          <w:ilvl w:val="0"/>
          <w:numId w:val="1006"/>
        </w:numPr>
      </w:pPr>
      <w:r>
        <w:t xml:space="preserve">La Salle: incorporació a un entorn universitari d’alt nivell tècnic.</w:t>
      </w:r>
    </w:p>
    <w:p>
      <w:pPr>
        <w:pStyle w:val="Compact"/>
        <w:numPr>
          <w:ilvl w:val="0"/>
          <w:numId w:val="1006"/>
        </w:numPr>
      </w:pPr>
      <w:r>
        <w:t xml:space="preserve">La Salle és etapa valuosa; evitar comparacions jeràrquiques.</w:t>
      </w:r>
    </w:p>
    <w:p>
      <w:pPr>
        <w:pStyle w:val="Compact"/>
        <w:numPr>
          <w:ilvl w:val="0"/>
          <w:numId w:val="1006"/>
        </w:numPr>
      </w:pPr>
      <w:r>
        <w:t xml:space="preserve">Motiu principal: encaix acadèmic més directe amb enginyeria del software i sistemes d’informació.</w:t>
      </w:r>
    </w:p>
    <w:p>
      <w:pPr>
        <w:pStyle w:val="Compact"/>
        <w:numPr>
          <w:ilvl w:val="0"/>
          <w:numId w:val="1006"/>
        </w:numPr>
      </w:pPr>
      <w:r>
        <w:t xml:space="preserve">Conciliació com a factor complementari de sostenibilitat.</w:t>
      </w:r>
    </w:p>
    <w:p>
      <w:pPr>
        <w:pStyle w:val="Compact"/>
        <w:numPr>
          <w:ilvl w:val="0"/>
          <w:numId w:val="1006"/>
        </w:numPr>
      </w:pPr>
      <w:r>
        <w:t xml:space="preserve">Conversa amb coordinador i director a La Salle.</w:t>
      </w:r>
    </w:p>
    <w:p>
      <w:pPr>
        <w:pStyle w:val="Compact"/>
        <w:numPr>
          <w:ilvl w:val="0"/>
          <w:numId w:val="1006"/>
        </w:numPr>
      </w:pPr>
      <w:r>
        <w:t xml:space="preserve">Fonaments a La Salle: disseny i programació orientats a objectes i aplicacions mòbils; la llavor de l’enginyeria del software.</w:t>
      </w:r>
    </w:p>
    <w:p>
      <w:pPr>
        <w:pStyle w:val="Compact"/>
        <w:numPr>
          <w:ilvl w:val="0"/>
          <w:numId w:val="1006"/>
        </w:numPr>
      </w:pPr>
      <w:r>
        <w:t xml:space="preserve">Territori professional propi: arquitectura de software, backend empresarial i sistemes d’informació; el tram següent del mateix camí.</w:t>
      </w:r>
    </w:p>
    <w:p>
      <w:pPr>
        <w:pStyle w:val="Compact"/>
        <w:numPr>
          <w:ilvl w:val="0"/>
          <w:numId w:val="1006"/>
        </w:numPr>
      </w:pPr>
      <w:r>
        <w:t xml:space="preserve">Encaix curricular al TecnoCampus: la gestió i els sistemes d’informació formen part de la mateixa denominació del grau.</w:t>
      </w:r>
    </w:p>
    <w:p>
      <w:pPr>
        <w:pStyle w:val="Compact"/>
        <w:numPr>
          <w:ilvl w:val="0"/>
          <w:numId w:val="1006"/>
        </w:numPr>
      </w:pPr>
      <w:r>
        <w:t xml:space="preserve">No esmentar persones concretes; el contacte acadèmic es formula en genèric.</w:t>
      </w:r>
    </w:p>
    <w:p>
      <w:pPr>
        <w:pStyle w:val="Compact"/>
        <w:numPr>
          <w:ilvl w:val="0"/>
          <w:numId w:val="1006"/>
        </w:numPr>
      </w:pPr>
      <w:r>
        <w:t xml:space="preserve">TecnoCampus: docència universitària, software, sistemes d’informació, transferència i projecte sostenible.</w:t>
      </w:r>
    </w:p>
    <w:bookmarkEnd w:id="21"/>
    <w:bookmarkStart w:id="22" w:name="tecnocampus---120"/>
    <w:p>
      <w:pPr>
        <w:pStyle w:val="Heading3"/>
      </w:pPr>
      <w:r>
        <w:t xml:space="preserve">5. TecnoCampus - 1:20</w:t>
      </w:r>
    </w:p>
    <w:p>
      <w:pPr>
        <w:pStyle w:val="Compact"/>
        <w:numPr>
          <w:ilvl w:val="0"/>
          <w:numId w:val="1007"/>
        </w:numPr>
      </w:pPr>
      <w:r>
        <w:t xml:space="preserve">Docència continuada des de 2021.</w:t>
      </w:r>
    </w:p>
    <w:p>
      <w:pPr>
        <w:pStyle w:val="Compact"/>
        <w:numPr>
          <w:ilvl w:val="0"/>
          <w:numId w:val="1007"/>
        </w:numPr>
      </w:pPr>
      <w:r>
        <w:t xml:space="preserve">Assignatures: programació, dades, Internet, enginyeria, DSI.</w:t>
      </w:r>
    </w:p>
    <w:p>
      <w:pPr>
        <w:pStyle w:val="Compact"/>
        <w:numPr>
          <w:ilvl w:val="0"/>
          <w:numId w:val="1007"/>
        </w:numPr>
      </w:pPr>
      <w:r>
        <w:t xml:space="preserve">15 registres oficials d’avaluació docent: mitjana aritmètica simple de 8,75/10.</w:t>
      </w:r>
    </w:p>
    <w:p>
      <w:pPr>
        <w:pStyle w:val="Compact"/>
        <w:numPr>
          <w:ilvl w:val="0"/>
          <w:numId w:val="1007"/>
        </w:numPr>
      </w:pPr>
      <w:r>
        <w:t xml:space="preserve">Quatre registres dels dos darrers cursos: mitjana aritmètica simple de 9,03/10.</w:t>
      </w:r>
    </w:p>
    <w:p>
      <w:pPr>
        <w:pStyle w:val="Compact"/>
        <w:numPr>
          <w:ilvl w:val="0"/>
          <w:numId w:val="1007"/>
        </w:numPr>
      </w:pPr>
      <w:r>
        <w:t xml:space="preserve">No dir mitjana ponderada ni percentatge de satisfacció.</w:t>
      </w:r>
    </w:p>
    <w:p>
      <w:pPr>
        <w:pStyle w:val="Compact"/>
        <w:numPr>
          <w:ilvl w:val="0"/>
          <w:numId w:val="1007"/>
        </w:numPr>
      </w:pPr>
      <w:r>
        <w:t xml:space="preserve">Josep Roure: arquitectura, DDD, Clean Architecture, hexagonal.</w:t>
      </w:r>
    </w:p>
    <w:p>
      <w:pPr>
        <w:pStyle w:val="Compact"/>
        <w:numPr>
          <w:ilvl w:val="0"/>
          <w:numId w:val="1007"/>
        </w:numPr>
      </w:pPr>
      <w:r>
        <w:t xml:space="preserve">Participació acreditada al projecte SQAI d’ABP a Laboratori d’Aplicacions Internet.</w:t>
      </w:r>
    </w:p>
    <w:p>
      <w:pPr>
        <w:pStyle w:val="Compact"/>
        <w:numPr>
          <w:ilvl w:val="0"/>
          <w:numId w:val="1007"/>
        </w:numPr>
      </w:pPr>
      <w:r>
        <w:t xml:space="preserve">HexaStock com a integració de docència, pràctica i transferència.</w:t>
      </w:r>
    </w:p>
    <w:p>
      <w:pPr>
        <w:pStyle w:val="Compact"/>
        <w:numPr>
          <w:ilvl w:val="0"/>
          <w:numId w:val="1007"/>
        </w:numPr>
      </w:pPr>
      <w:r>
        <w:t xml:space="preserve">Transició explícita a la classe magistral.</w:t>
      </w:r>
    </w:p>
    <w:bookmarkEnd w:id="22"/>
    <w:bookmarkStart w:id="23" w:name="neueda-doctorat-i-futur---200"/>
    <w:p>
      <w:pPr>
        <w:pStyle w:val="Heading3"/>
      </w:pPr>
      <w:r>
        <w:t xml:space="preserve">6. Neueda, doctorat i futur - 2:00</w:t>
      </w:r>
    </w:p>
    <w:p>
      <w:pPr>
        <w:pStyle w:val="Compact"/>
        <w:numPr>
          <w:ilvl w:val="0"/>
          <w:numId w:val="1008"/>
        </w:numPr>
      </w:pPr>
      <w:r>
        <w:t xml:space="preserve">Cambridge C1 Advanced: 185, Pass at Grade C, C1 MECR.</w:t>
      </w:r>
    </w:p>
    <w:p>
      <w:pPr>
        <w:pStyle w:val="Compact"/>
        <w:numPr>
          <w:ilvl w:val="0"/>
          <w:numId w:val="1008"/>
        </w:numPr>
      </w:pPr>
      <w:r>
        <w:t xml:space="preserve">Neueda: formació internacional en anglès en enginyeria del software.</w:t>
      </w:r>
    </w:p>
    <w:p>
      <w:pPr>
        <w:pStyle w:val="Compact"/>
        <w:numPr>
          <w:ilvl w:val="0"/>
          <w:numId w:val="1008"/>
        </w:numPr>
      </w:pPr>
      <w:r>
        <w:t xml:space="preserve">AGAUR: 60 hores de formació i consultoria especialitzada en REST, arquitectura hexagonal i sistemes d’informació.</w:t>
      </w:r>
    </w:p>
    <w:p>
      <w:pPr>
        <w:pStyle w:val="Compact"/>
        <w:numPr>
          <w:ilvl w:val="0"/>
          <w:numId w:val="1008"/>
        </w:numPr>
      </w:pPr>
      <w:r>
        <w:t xml:space="preserve">HUB4T: Java Backend Web Developer, 120 h per curs durant tres cursos acadèmics.</w:t>
      </w:r>
    </w:p>
    <w:p>
      <w:pPr>
        <w:pStyle w:val="Compact"/>
        <w:numPr>
          <w:ilvl w:val="0"/>
          <w:numId w:val="1008"/>
        </w:numPr>
      </w:pPr>
      <w:r>
        <w:t xml:space="preserve">Doctorat UDIMA: Educació en Enginyeria del Software.</w:t>
      </w:r>
    </w:p>
    <w:p>
      <w:pPr>
        <w:pStyle w:val="Compact"/>
        <w:numPr>
          <w:ilvl w:val="0"/>
          <w:numId w:val="1008"/>
        </w:numPr>
      </w:pPr>
      <w:r>
        <w:t xml:space="preserve">No presentar-lo com a psicologia genèrica ni com a resultats ja assolits.</w:t>
      </w:r>
    </w:p>
    <w:p>
      <w:pPr>
        <w:pStyle w:val="Compact"/>
        <w:numPr>
          <w:ilvl w:val="0"/>
          <w:numId w:val="1008"/>
        </w:numPr>
      </w:pPr>
      <w:r>
        <w:t xml:space="preserve">Tesi: problema obert identificat per la literatura recent; integració curricular, mesura i estudis longitudinals.</w:t>
      </w:r>
    </w:p>
    <w:p>
      <w:pPr>
        <w:pStyle w:val="Compact"/>
        <w:numPr>
          <w:ilvl w:val="0"/>
          <w:numId w:val="1008"/>
        </w:numPr>
      </w:pPr>
      <w:r>
        <w:t xml:space="preserve">Disseny mixt i quasiexperimental, dues assignatures reals amb ABP, pretest, posttest, seguiment diferit i component qualitatiu.</w:t>
      </w:r>
    </w:p>
    <w:p>
      <w:pPr>
        <w:pStyle w:val="Compact"/>
        <w:numPr>
          <w:ilvl w:val="0"/>
          <w:numId w:val="1008"/>
        </w:numPr>
      </w:pPr>
      <w:r>
        <w:t xml:space="preserve">Futur: docència, recerca, innovació, transferència i acompanyament.</w:t>
      </w:r>
    </w:p>
    <w:p>
      <w:pPr>
        <w:pStyle w:val="Compact"/>
        <w:numPr>
          <w:ilvl w:val="0"/>
          <w:numId w:val="1008"/>
        </w:numPr>
      </w:pPr>
      <w:r>
        <w:t xml:space="preserve">Tancar amb la plaça com a consolidació d’un projecte acadèmic.</w:t>
      </w:r>
    </w:p>
    <w:p>
      <w:pPr>
        <w:pStyle w:val="Compact"/>
        <w:numPr>
          <w:ilvl w:val="0"/>
          <w:numId w:val="1008"/>
        </w:numPr>
      </w:pPr>
      <w:r>
        <w:t xml:space="preserve">Enllaçar amb la classe magistral següent.</w:t>
      </w:r>
    </w:p>
    <w:bookmarkEnd w:id="23"/>
    <w:bookmarkStart w:id="24" w:name="Xed3256c23068a18527438c32113db4e0c20a1ed"/>
    <w:p>
      <w:pPr>
        <w:pStyle w:val="Heading3"/>
      </w:pPr>
      <w:r>
        <w:t xml:space="preserve">Annex A. Contrast d’orientació curricular - només si el tribunal pregunta</w:t>
      </w:r>
    </w:p>
    <w:p>
      <w:pPr>
        <w:pStyle w:val="Compact"/>
        <w:numPr>
          <w:ilvl w:val="0"/>
          <w:numId w:val="1009"/>
        </w:numPr>
      </w:pPr>
      <w:r>
        <w:t xml:space="preserve">Fora dels deu minuts i de la numeració 1-6; no mostrar sense pregunta o necessitat clara.</w:t>
      </w:r>
    </w:p>
    <w:p>
      <w:pPr>
        <w:pStyle w:val="Compact"/>
        <w:numPr>
          <w:ilvl w:val="0"/>
          <w:numId w:val="1009"/>
        </w:numPr>
      </w:pPr>
      <w:r>
        <w:t xml:space="preserve">Missatge: diferències d’èmfasi i d’orientació curricular, mai de qualitat ni de jerarquia entre institucions.</w:t>
      </w:r>
    </w:p>
    <w:p>
      <w:pPr>
        <w:pStyle w:val="Compact"/>
        <w:numPr>
          <w:ilvl w:val="0"/>
          <w:numId w:val="1009"/>
        </w:numPr>
      </w:pPr>
      <w:r>
        <w:t xml:space="preserve">Taula: Enginyeria del Software, Sistemes d’Informació i arquitectura, electrònica i hardware, xarxes i telecomunicacions, identitat del grau.</w:t>
      </w:r>
    </w:p>
    <w:p>
      <w:pPr>
        <w:pStyle w:val="Compact"/>
        <w:numPr>
          <w:ilvl w:val="0"/>
          <w:numId w:val="1009"/>
        </w:numPr>
      </w:pPr>
      <w:r>
        <w:t xml:space="preserve">Sense noms de persones ni relacions personals; justificació estrictament acadèmica, curricular i institucional.</w:t>
      </w:r>
    </w:p>
    <w:p>
      <w:pPr>
        <w:pStyle w:val="Compact"/>
        <w:numPr>
          <w:ilvl w:val="0"/>
          <w:numId w:val="1009"/>
        </w:numPr>
      </w:pPr>
      <w:r>
        <w:t xml:space="preserve">Fonts (consulta: 13 de juliol de 2026): pla d’estudis del Grau en Enginyeria Informàtica de La Salle URL (https://www.salleurl.edu/ca/estudis/grau-en-enginyeria-informatica/pla-estudis) i Grau en Enginyeria Informàtica de Gestió i Sistemes d’Informació del TecnoCampus (https://www.tecnocampus.cat/grau/grau-en-enginyeria-informatica-de-gestio-i-sistemes-dinformacio).</w:t>
      </w:r>
    </w:p>
    <w:p>
      <w:pPr>
        <w:pStyle w:val="Compact"/>
        <w:numPr>
          <w:ilvl w:val="0"/>
          <w:numId w:val="1009"/>
        </w:numPr>
      </w:pPr>
      <w:r>
        <w:t xml:space="preserve">Criteri: només assignatures amb nom verificat als plans vigents, amb obligatòries i optatives diferenciades; no es projecten sumes agregades d’ECTS perquè la classificació obligatòria/optativa de La Salle no va resultar estable entre consultes, i per això la diapositiva usa formulacions qualitatives.</w:t>
      </w:r>
    </w:p>
    <w:p>
      <w:pPr>
        <w:pStyle w:val="Compact"/>
        <w:numPr>
          <w:ilvl w:val="0"/>
          <w:numId w:val="1009"/>
        </w:numPr>
      </w:pPr>
      <w:r>
        <w:t xml:space="preserve">Resposta oral de reserva: vegeu la secció Annex A del guió.</w:t>
      </w:r>
    </w:p>
    <w:p>
      <w:r>
        <w:pict>
          <ns1:rect style="width:0;height:1.5pt" ns2:hralign="center" ns2:hrstd="t" ns2:hr="t"/>
        </w:pict>
      </w:r>
    </w:p>
    <w:bookmarkEnd w:id="24"/>
    <w:bookmarkEnd w:id="25"/>
    <w:bookmarkStart w:id="26" w:name="esquema-de-memorització"/>
    <w:p>
      <w:pPr>
        <w:pStyle w:val="Heading2"/>
      </w:pPr>
      <w:r>
        <w:t xml:space="preserve">3. Esquema de memorització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0"/>
        <w:gridCol w:w="3714"/>
        <w:gridCol w:w="2731"/>
        <w:gridCol w:w="8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Diapositiva</w:t>
            </w:r>
          </w:p>
        </w:tc>
        <w:tc>
          <w:tcPr/>
          <w:p>
            <w:pPr>
              <w:pStyle w:val="Compact"/>
            </w:pPr>
            <w:r>
              <w:t xml:space="preserve">Missatge central</w:t>
            </w:r>
          </w:p>
        </w:tc>
        <w:tc>
          <w:tcPr/>
          <w:p>
            <w:pPr>
              <w:pStyle w:val="Compact"/>
            </w:pPr>
            <w:r>
              <w:t xml:space="preserve">Paraules clau</w:t>
            </w:r>
          </w:p>
        </w:tc>
        <w:tc>
          <w:tcPr/>
          <w:p>
            <w:pPr>
              <w:pStyle w:val="Compact"/>
            </w:pPr>
            <w:r>
              <w:t xml:space="preserve">Transició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La trajectòria té un sol fil conductor</w:t>
            </w:r>
          </w:p>
        </w:tc>
        <w:tc>
          <w:tcPr/>
          <w:p>
            <w:pPr>
              <w:pStyle w:val="Compact"/>
            </w:pPr>
            <w:r>
              <w:t xml:space="preserve">2004, enginyer, professor, investigador</w:t>
            </w:r>
          </w:p>
        </w:tc>
        <w:tc>
          <w:tcPr/>
          <w:p>
            <w:pPr>
              <w:pStyle w:val="Compact"/>
            </w:pPr>
            <w:r>
              <w:t xml:space="preserve">Base industrial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La indústria dona profunditat tècnica i desperta comunicació</w:t>
            </w:r>
          </w:p>
        </w:tc>
        <w:tc>
          <w:tcPr/>
          <w:p>
            <w:pPr>
              <w:pStyle w:val="Compact"/>
            </w:pPr>
            <w:r>
              <w:t xml:space="preserve">Symbian, C/C++, MWC, openTrends, Java</w:t>
            </w:r>
          </w:p>
        </w:tc>
        <w:tc>
          <w:tcPr/>
          <w:p>
            <w:pPr>
              <w:pStyle w:val="Compact"/>
            </w:pPr>
            <w:r>
              <w:t xml:space="preserve">Vocació docent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Stucom materialitza la vocació docent</w:t>
            </w:r>
          </w:p>
        </w:tc>
        <w:tc>
          <w:tcPr/>
          <w:p>
            <w:pPr>
              <w:pStyle w:val="Compact"/>
            </w:pPr>
            <w:r>
              <w:t xml:space="preserve">FP, aula, escolta, acompanyament</w:t>
            </w:r>
          </w:p>
        </w:tc>
        <w:tc>
          <w:tcPr/>
          <w:p>
            <w:pPr>
              <w:pStyle w:val="Compact"/>
            </w:pPr>
            <w:r>
              <w:t xml:space="preserve">Universitat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La Salle dona els fonaments; el TecnoCampus, l’encaix curricular</w:t>
            </w:r>
          </w:p>
        </w:tc>
        <w:tc>
          <w:tcPr/>
          <w:p>
            <w:pPr>
              <w:pStyle w:val="Compact"/>
            </w:pPr>
            <w:r>
              <w:t xml:space="preserve">La Salle, fonaments, llavor, tram següent, encaix</w:t>
            </w:r>
          </w:p>
        </w:tc>
        <w:tc>
          <w:tcPr/>
          <w:p>
            <w:pPr>
              <w:pStyle w:val="Compact"/>
            </w:pPr>
            <w:r>
              <w:t xml:space="preserve">Casa acadèmica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TecnoCampus integra docència, evidència, equip i transferència</w:t>
            </w:r>
          </w:p>
        </w:tc>
        <w:tc>
          <w:tcPr/>
          <w:p>
            <w:pPr>
              <w:pStyle w:val="Compact"/>
            </w:pPr>
            <w:r>
              <w:t xml:space="preserve">2021, 15 registres, 8,75, 9,03, SQAI</w:t>
            </w:r>
          </w:p>
        </w:tc>
        <w:tc>
          <w:tcPr/>
          <w:p>
            <w:pPr>
              <w:pStyle w:val="Compact"/>
            </w:pPr>
            <w:r>
              <w:t xml:space="preserve">Recerca i futur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Doctorat i futur se situen en l’Educació en Enginyeria del Software</w:t>
            </w:r>
          </w:p>
        </w:tc>
        <w:tc>
          <w:tcPr/>
          <w:p>
            <w:pPr>
              <w:pStyle w:val="Compact"/>
            </w:pPr>
            <w:r>
              <w:t xml:space="preserve">C1, Neueda, AGAUR, HUB4T, buit de recerca</w:t>
            </w:r>
          </w:p>
        </w:tc>
        <w:tc>
          <w:tcPr/>
          <w:p>
            <w:pPr>
              <w:pStyle w:val="Compact"/>
            </w:pPr>
            <w:r>
              <w:t xml:space="preserve">Classe magistral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Annex A</w:t>
            </w:r>
          </w:p>
        </w:tc>
        <w:tc>
          <w:tcPr/>
          <w:p>
            <w:pPr>
              <w:pStyle w:val="Compact"/>
            </w:pPr>
            <w:r>
              <w:t xml:space="preserve">Diferències d’èmfasi curricular, no de qualitat (només preguntes)</w:t>
            </w:r>
          </w:p>
        </w:tc>
        <w:tc>
          <w:tcPr/>
          <w:p>
            <w:pPr>
              <w:pStyle w:val="Compact"/>
            </w:pPr>
            <w:r>
              <w:t xml:space="preserve">encaix, orientació, fonts oficials</w:t>
            </w:r>
          </w:p>
        </w:tc>
        <w:tc>
          <w:tcPr/>
          <w:p>
            <w:pPr>
              <w:pStyle w:val="Compact"/>
            </w:pPr>
            <w:r>
              <w:t xml:space="preserve">Fora dels 10 min</w:t>
            </w:r>
          </w:p>
        </w:tc>
      </w:tr>
    </w:tbl>
    <w:p>
      <w:pPr>
        <w:pStyle w:val="BodyText"/>
      </w:pPr>
      <w:r>
        <w:t xml:space="preserve">Mantra de memòria:</w:t>
      </w:r>
      <w:r>
        <w:t xml:space="preserve"> </w:t>
      </w:r>
      <w:r>
        <w:rPr>
          <w:rStyle w:val="VerbatimChar"/>
        </w:rPr>
        <w:t xml:space="preserve">indústria del software -&gt; docència universitària en software -&gt; TecnoCampus -&gt; recerca -&gt; futur</w:t>
      </w:r>
      <w:r>
        <w:t xml:space="preserve">.</w:t>
      </w:r>
    </w:p>
    <w:p>
      <w:pPr>
        <w:pStyle w:val="BodyText"/>
      </w:pPr>
      <w:r>
        <w:t xml:space="preserve">Frase de tancament que convé memoritzar gairebé literalment:</w:t>
      </w:r>
    </w:p>
    <w:p>
      <w:pPr>
        <w:pStyle w:val="BlockText"/>
      </w:pPr>
      <w:r>
        <w:t xml:space="preserve">una recerca en Educació en Enginyeria del Software, integrada en assignatures reals, que vol contribuir a formar enginyers i enginyeres tècnicament solvents i professionalment responsables.</w:t>
      </w:r>
    </w:p>
    <w:p>
      <w:r>
        <w:pict>
          <ns1:rect style="width:0;height:1.5pt" ns2:hralign="center" ns2:hrstd="t" ns2:hr="t"/>
        </w:pict>
      </w:r>
    </w:p>
    <w:bookmarkEnd w:id="26"/>
    <w:bookmarkStart w:id="32" w:name="recomanacions-dassaig-ritme-veu-i-cos"/>
    <w:p>
      <w:pPr>
        <w:pStyle w:val="Heading2"/>
      </w:pPr>
      <w:r>
        <w:t xml:space="preserve">4. Recomanacions d’assaig, ritme, veu i cos</w:t>
      </w:r>
    </w:p>
    <w:bookmarkStart w:id="27" w:name="ritme"/>
    <w:p>
      <w:pPr>
        <w:pStyle w:val="Heading3"/>
      </w:pPr>
      <w:r>
        <w:t xml:space="preserve">Ritme</w:t>
      </w:r>
    </w:p>
    <w:p>
      <w:pPr>
        <w:pStyle w:val="FirstParagraph"/>
      </w:pPr>
      <w:r>
        <w:t xml:space="preserve">La presentació està pensada per a 9:00-9:20 amb un ritme pausat i marge real. Les diapositives 5 i 6 són les més importants i poden ocupar una mica més de temps. Si cal retallar durant l’assaig, aplica la versió curta d’emergència; no retallis les xifres docents del TecnoCampus.</w:t>
      </w:r>
    </w:p>
    <w:bookmarkEnd w:id="27"/>
    <w:bookmarkStart w:id="28" w:name="veu"/>
    <w:p>
      <w:pPr>
        <w:pStyle w:val="Heading3"/>
      </w:pPr>
      <w:r>
        <w:t xml:space="preserve">Veu</w:t>
      </w:r>
    </w:p>
    <w:p>
      <w:pPr>
        <w:pStyle w:val="FirstParagraph"/>
      </w:pPr>
      <w:r>
        <w:t xml:space="preserve">Mantén un to acadèmic, però no burocràtic. Les frases personals han de sonar naturals i sòbries:</w:t>
      </w:r>
      <w:r>
        <w:t xml:space="preserve"> </w:t>
      </w:r>
      <w:r>
        <w:rPr>
          <w:rStyle w:val="VerbatimChar"/>
        </w:rPr>
        <w:t xml:space="preserve">projecte acadèmic vinculat al TecnoCampus</w:t>
      </w:r>
      <w:r>
        <w:t xml:space="preserve">. No cal intensificar-les; la força està a dir-les amb calma i amb evidència.</w:t>
      </w:r>
    </w:p>
    <w:bookmarkEnd w:id="28"/>
    <w:bookmarkStart w:id="29" w:name="cos-i-mirada"/>
    <w:p>
      <w:pPr>
        <w:pStyle w:val="Heading3"/>
      </w:pPr>
      <w:r>
        <w:t xml:space="preserve">Cos i mirada</w:t>
      </w:r>
    </w:p>
    <w:p>
      <w:pPr>
        <w:pStyle w:val="FirstParagraph"/>
      </w:pPr>
      <w:r>
        <w:t xml:space="preserve">Mira el tribunal en tres moments: inici, explicació de l’alineació TecnoCampus i tancament final. Mira la pantalla només quan la diapositiva ajudi a ordenar una etapa o una transició. A la diapositiva 5, atura’t una mica abans de dir les xifres d’avaluació docent.</w:t>
      </w:r>
    </w:p>
    <w:bookmarkEnd w:id="29"/>
    <w:bookmarkStart w:id="30" w:name="control-del-temps"/>
    <w:p>
      <w:pPr>
        <w:pStyle w:val="Heading3"/>
      </w:pPr>
      <w:r>
        <w:t xml:space="preserve">Control del temps</w:t>
      </w:r>
    </w:p>
    <w:p>
      <w:pPr>
        <w:pStyle w:val="Compact"/>
        <w:numPr>
          <w:ilvl w:val="0"/>
          <w:numId w:val="1010"/>
        </w:numPr>
      </w:pPr>
      <w:r>
        <w:t xml:space="preserve">Diapositiva 1: no superar 0:55.</w:t>
      </w:r>
    </w:p>
    <w:p>
      <w:pPr>
        <w:pStyle w:val="Compact"/>
        <w:numPr>
          <w:ilvl w:val="0"/>
          <w:numId w:val="1010"/>
        </w:numPr>
      </w:pPr>
      <w:r>
        <w:t xml:space="preserve">Diapositiva 2: no explicar massa Vida Software; màxim 30 segons.</w:t>
      </w:r>
    </w:p>
    <w:p>
      <w:pPr>
        <w:pStyle w:val="Compact"/>
        <w:numPr>
          <w:ilvl w:val="0"/>
          <w:numId w:val="1010"/>
        </w:numPr>
      </w:pPr>
      <w:r>
        <w:t xml:space="preserve">Diapositiva 3: evitar convertir-la en una història llarga sobre FP.</w:t>
      </w:r>
    </w:p>
    <w:p>
      <w:pPr>
        <w:pStyle w:val="Compact"/>
        <w:numPr>
          <w:ilvl w:val="0"/>
          <w:numId w:val="1010"/>
        </w:numPr>
      </w:pPr>
      <w:r>
        <w:t xml:space="preserve">Diapositiva 4: encaix curricular com a motiu principal (fonaments a La Salle, tram següent al TecnoCampus); conciliació només com a sostenibilitat complementària; cap menció de persones concretes.</w:t>
      </w:r>
    </w:p>
    <w:p>
      <w:pPr>
        <w:pStyle w:val="Compact"/>
        <w:numPr>
          <w:ilvl w:val="0"/>
          <w:numId w:val="1010"/>
        </w:numPr>
      </w:pPr>
      <w:r>
        <w:t xml:space="preserve">Diapositiva 5: és el centre docent i institucional; donar-li aire.</w:t>
      </w:r>
    </w:p>
    <w:p>
      <w:pPr>
        <w:pStyle w:val="Compact"/>
        <w:numPr>
          <w:ilvl w:val="0"/>
          <w:numId w:val="1010"/>
        </w:numPr>
      </w:pPr>
      <w:r>
        <w:t xml:space="preserve">Diapositiva 6: recerca com a Educació en Enginyeria del Software; tancar amb seguretat i enllaçar amb la classe magistral.</w:t>
      </w:r>
    </w:p>
    <w:bookmarkEnd w:id="30"/>
    <w:bookmarkStart w:id="31" w:name="versió-curta-demergència"/>
    <w:p>
      <w:pPr>
        <w:pStyle w:val="Heading3"/>
      </w:pPr>
      <w:r>
        <w:t xml:space="preserve">Versió curta d’emergència</w:t>
      </w:r>
    </w:p>
    <w:p>
      <w:pPr>
        <w:pStyle w:val="FirstParagraph"/>
      </w:pPr>
      <w:r>
        <w:t xml:space="preserve">Si durant la defensa veus que falta temps, elimina aquestes frases:</w:t>
      </w:r>
    </w:p>
    <w:p>
      <w:pPr>
        <w:pStyle w:val="Compact"/>
        <w:numPr>
          <w:ilvl w:val="0"/>
          <w:numId w:val="1011"/>
        </w:numPr>
      </w:pPr>
      <w:r>
        <w:t xml:space="preserve">A la diapositiva 2, digues només</w:t>
      </w:r>
      <w:r>
        <w:t xml:space="preserve"> </w:t>
      </w:r>
      <w:r>
        <w:rPr>
          <w:rStyle w:val="VerbatimChar"/>
        </w:rPr>
        <w:t xml:space="preserve">component de Symbian per incorporar veu en aplicacions mòbils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A la diapositiva 3, redueix la reflexió sobre FP a una frase d’agraïment.</w:t>
      </w:r>
    </w:p>
    <w:p>
      <w:pPr>
        <w:pStyle w:val="Compact"/>
        <w:numPr>
          <w:ilvl w:val="0"/>
          <w:numId w:val="1011"/>
        </w:numPr>
      </w:pPr>
      <w:r>
        <w:t xml:space="preserve">A la diapositiva 4, resumeix la conciliació en</w:t>
      </w:r>
      <w:r>
        <w:t xml:space="preserve"> </w:t>
      </w:r>
      <w:r>
        <w:rPr>
          <w:rStyle w:val="VerbatimChar"/>
        </w:rPr>
        <w:t xml:space="preserve">la proximitat reforçava una trajectòria acadèmica sostenible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A la diapositiva 4, si encara vas tard, redueix el bloc d’encaix a</w:t>
      </w:r>
      <w:r>
        <w:t xml:space="preserve"> </w:t>
      </w:r>
      <w:r>
        <w:rPr>
          <w:rStyle w:val="VerbatimChar"/>
        </w:rPr>
        <w:t xml:space="preserve">la meva especialització tenia un encaix curricular directe al TecnoCampus</w:t>
      </w:r>
      <w:r>
        <w:t xml:space="preserve"> </w:t>
      </w:r>
      <w:r>
        <w:t xml:space="preserve">i elimina</w:t>
      </w:r>
      <w:r>
        <w:t xml:space="preserve"> </w:t>
      </w:r>
      <w:r>
        <w:rPr>
          <w:rStyle w:val="VerbatimChar"/>
        </w:rPr>
        <w:t xml:space="preserve">i em va agradar molt ensenyar-los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A la diapositiva 6, si vas tard, elimina HUB4T i deixa només Cambridge, Neueda, AGAUR i doctorat.</w:t>
      </w:r>
    </w:p>
    <w:p>
      <w:pPr>
        <w:pStyle w:val="FirstParagraph"/>
      </w:pPr>
      <w:r>
        <w:t xml:space="preserve">No eliminis la connexió final amb la classe magistral.</w:t>
      </w:r>
    </w:p>
    <w:bookmarkEnd w:id="31"/>
    <w:bookmarkEnd w:id="32"/>
    <w:bookmarkEnd w:id="33"/>
    <w:sectPr>
      <w:pgSz w:h="16838" w:w="11906"/>
      <w:pgMar w:bottom="1134" w:footer="708" w:gutter="0" w:header="708" w:left="1134" w:right="1134" w:top="1134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2026-07-14T20:02:43Z</dcterms:created>
  <dcterms:modified xsi:type="dcterms:W3CDTF">2026-07-14T20:02:43Z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