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0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</w:t>
      </w:r>
    </w:p>
    <w:bookmarkStart w:id="9" w:name="X955f66c7fc938677aca3c0234d4f82c1654e8a5"/>
    <w:p>
      <w:pPr>
        <w:pStyle w:val="Heading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BodyText"/>
      </w:pPr>
      <w:r>
        <w:t xml:space="preserve">En aquests deu minuts explicaré el fil conductor d’una trajectòria iniciada el 2004: la indústria del software, la docència universitària i la recerca, tres eixos que convergeixen al TecnoCampus com a projecte docent i acadèmic. [pausa breu]</w:t>
      </w:r>
    </w:p>
    <w:p>
      <w:pPr>
        <w:pStyle w:val="BodyText"/>
      </w:pPr>
      <w:r>
        <w:t xml:space="preserve">La meva trajectòria neix en la indústria del software, s’amplia cap a la docència universitària en software i troba al TecnoCampus un espai coherent per consolidar un projecte acadèmic.</w:t>
      </w:r>
    </w:p>
    <w:p>
      <w:pPr>
        <w:pStyle w:val="BodyText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14a8b7aa807d9c5e07cea297e688b2b46d3c015"/>
    <w:p>
      <w:pPr>
        <w:pStyle w:val="Heading3"/>
      </w:pPr>
      <w:r>
        <w:t xml:space="preserve">Diapositiva 2. Primera etapa: enginyeria del software i consultoria - 1:10</w:t>
      </w:r>
    </w:p>
    <w:p>
      <w:pPr>
        <w:pStyle w:val="FirstParagraph"/>
      </w:pPr>
      <w:r>
        <w:t xml:space="preserve">La primera etapa és una etapa d’indústria del software. [to calmat]</w:t>
      </w:r>
    </w:p>
    <w:p>
      <w:pPr>
        <w:pStyle w:val="BodyText"/>
      </w:pPr>
      <w:r>
        <w:t xml:space="preserve">A Vida Software vaig treballar en un component del sistema operatiu Symbian orientat a incorporar interacció per veu en aplicacions mòbils. Era una peça de plataforma en C/C++, amb restriccions fortes de memòria, cpu i xarxa. Es va presentar en entorns com el 3GSM / Mobile World Congress i vinculada al context d’innovació d’una patent de Vida Software sobre interfícies d’usuari.</w:t>
      </w:r>
    </w:p>
    <w:p>
      <w:pPr>
        <w:pStyle w:val="BodyText"/>
      </w:pPr>
      <w:r>
        <w:t xml:space="preserve">El pas a openTrends va ampliar aquesta base cap a Java, Linux, Spring, sistemes d’informació, clients i equips. Allà la comunicació tècnica va guanyar pes: entendre necessitats, explicar decisions i mentoria d´enginyers júniors.</w:t>
      </w:r>
    </w:p>
    <w:p>
      <w:pPr>
        <w:pStyle w:val="BodyText"/>
      </w:pPr>
      <w:r>
        <w:t xml:space="preserve">Mirat amb perspectiva, aquesta etapa em va donar dues coses: solvència tècnica en entorns exigents i la descoberta d’una inclinació clara cap a la comunicació, compartir coneixement i acompanyar l’aprenentatge d’altres persones.</w:t>
      </w:r>
    </w:p>
    <w:p>
      <w:pPr>
        <w:pStyle w:val="BodyText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Heading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BodyText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BodyText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BodyText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49d56bb52746b0bc970262def2624a673c15ab9"/>
    <w:p>
      <w:pPr>
        <w:pStyle w:val="Heading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BodyText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BodyText"/>
      </w:pPr>
      <w:r>
        <w:t xml:space="preserve">El pas cap al TecnoCampus va ser una decisió reflexionada, valorada amb la direcció i la coordinació acadèmica. La Salle té una tradició d’enginyeria sòlida i una forta tradició específicament en l’enginyeria de telecomunicacions. Amb el temps, vaig considerar que la meva especialització en enginyeria del software, arquitectura d’aplicacions, backend i sistemes d’informació podia tenir un encaix més directe al TecnoCampus. [mirada al tribunal]</w:t>
      </w:r>
    </w:p>
    <w:p>
      <w:pPr>
        <w:pStyle w:val="BodyText"/>
      </w:pPr>
      <w:r>
        <w:t xml:space="preserve">La proximitat geogràfica va reforçar aquesta decisió, perquè facilitava una trajectòria acadèmica sostenible i compatible amb les responsabilitats familiars.</w:t>
      </w:r>
    </w:p>
    <w:p>
      <w:pPr>
        <w:pStyle w:val="BodyText"/>
      </w:pPr>
      <w:r>
        <w:t xml:space="preserve">En aquest procés, la Dra. Ester Bernadó va facilitar el contacte acadèmic amb el TecnoCampus i el coneixement mutu.</w:t>
      </w:r>
    </w:p>
    <w:p>
      <w:pPr>
        <w:pStyle w:val="BodyText"/>
      </w:pPr>
      <w:r>
        <w:t xml:space="preserve">Després d’aquell contacte vaig començar com a professor associat al TecnoCampus. I des del primer moment vaig percebre que hi podien confluir camins que fins aleshores havien avançat separats: docència universitària, enginyeria del software, sistemes d’informació i sostenibilitat personal.</w:t>
      </w:r>
    </w:p>
    <w:p>
      <w:pPr>
        <w:pStyle w:val="BodyText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Heading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d’Internet, enginyeria del software i disseny de sistemes d’informació.</w:t>
      </w:r>
    </w:p>
    <w:p>
      <w:pPr>
        <w:pStyle w:val="BodyText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BodyText"/>
      </w:pPr>
      <w:r>
        <w:t xml:space="preserve">Ho esmento no com una valoració personal, sinó com un indicador documentat de treball docent sostingut, capacitat d’adaptació i voluntat de millora. [pausa breu]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BodyText"/>
      </w:pPr>
      <w:r>
        <w:t xml:space="preserve">La participació acreditada en el projecte SQAI d’Aprenentatge Basat en Projectes a Laboratori d’Aplicacions Internet, m’ha permès integrar docència, arquitectura de software i millora educativa.</w:t>
      </w:r>
    </w:p>
    <w:p>
      <w:pPr>
        <w:pStyle w:val="BodyText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transferència.</w:t>
      </w:r>
    </w:p>
    <w:bookmarkEnd w:id="13"/>
    <w:bookmarkStart w:id="14" w:name="X6f526021fd185638af6f7d611c2a3a910a439de"/>
    <w:p>
      <w:pPr>
        <w:pStyle w:val="Heading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BodyText"/>
      </w:pPr>
      <w:r>
        <w:t xml:space="preserve">Disposo del C1 Advanced de Cambridge, amb una puntuació global de 185, i l’anglès és una llengua de treball real. En el marc de Neueda he impartit formació internacional d’enginyeria del software en anglès, vinculada a Java, Spring, arquitectura i qualitat.</w:t>
      </w:r>
    </w:p>
    <w:p>
      <w:pPr>
        <w:pStyle w:val="BodyText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BodyText"/>
      </w:pPr>
      <w:r>
        <w:t xml:space="preserve">El doctorat a la UDIMA representa l’articulació científica d’aquest recorregut. La recerca s’inscriu en l’àmbit de l’Educació en Enginyeria del Software i 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BodyText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BodyText"/>
      </w:pPr>
      <w:r>
        <w:t xml:space="preserve">Per això, entenc aquesta plaça com la possibilitat de consolidar un projecte acadèmic ja vinculat al TecnoCampus: docència rigorosa, innovació educativa, transferència, recerca viable i acompanyament de l’alumnat. [mirada al tribunal]</w:t>
      </w:r>
    </w:p>
    <w:p>
      <w:pPr>
        <w:pStyle w:val="BodyText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22" w:name="notes-del-presentador-per-diapositiva"/>
    <w:p>
      <w:pPr>
        <w:pStyle w:val="Heading2"/>
      </w:pPr>
      <w:r>
        <w:t xml:space="preserve">2. Notes del presentador per diapositiva</w:t>
      </w:r>
    </w:p>
    <w:bookmarkStart w:id="16" w:name="trajectòria---050"/>
    <w:p>
      <w:pPr>
        <w:pStyle w:val="Heading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indústria, docència universitària, innovació, transferència, recerca i TecnoCampus.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10"/>
    <w:p>
      <w:pPr>
        <w:pStyle w:val="Heading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7"/>
    <w:bookmarkStart w:id="18" w:name="stucom---110"/>
    <w:p>
      <w:pPr>
        <w:pStyle w:val="Heading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18"/>
    <w:bookmarkStart w:id="19" w:name="la-salle-i-pont-cap-al-tecnocampus---145"/>
    <w:p>
      <w:pPr>
        <w:pStyle w:val="Heading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La Dra. Ester Bernadó va facilitar el contacte acadèmic amb el TecnoCampus.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5"/>
    <w:p>
      <w:pPr>
        <w:pStyle w:val="Heading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20"/>
    <w:p>
      <w:pPr>
        <w:pStyle w:val="Heading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ns1:rect style="width:0;height:1.5pt" ns2:hralign="center" ns2:hrstd="t" ns2:hr="t"/>
        </w:pict>
      </w:r>
    </w:p>
    <w:bookmarkEnd w:id="21"/>
    <w:bookmarkEnd w:id="22"/>
    <w:bookmarkStart w:id="23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fil conductor</w:t>
            </w:r>
          </w:p>
        </w:tc>
        <w:tc>
          <w:tcPr/>
          <w:p>
            <w:pPr>
              <w:pStyle w:val="Compact"/>
            </w:pPr>
            <w:r>
              <w:t xml:space="preserve">2004, software, docència, transferència, recerca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alineació</w:t>
            </w:r>
          </w:p>
        </w:tc>
        <w:tc>
          <w:tcPr/>
          <w:p>
            <w:pPr>
              <w:pStyle w:val="Compact"/>
            </w:pPr>
            <w:r>
              <w:t xml:space="preserve">La Salle, software, sistemes,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ns1:rect style="width:0;height:1.5pt" ns2:hralign="center" ns2:hrstd="t" ns2:hr="t"/>
        </w:pict>
      </w:r>
    </w:p>
    <w:bookmarkEnd w:id="23"/>
    <w:bookmarkStart w:id="29" w:name="recomanacions-dassaig-ritme-veu-i-cos"/>
    <w:p>
      <w:pPr>
        <w:pStyle w:val="Heading2"/>
      </w:pPr>
      <w:r>
        <w:t xml:space="preserve">4. Recomanacions d’assaig, ritme, veu i cos</w:t>
      </w:r>
    </w:p>
    <w:bookmarkStart w:id="24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4"/>
    <w:bookmarkStart w:id="25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5"/>
    <w:bookmarkStart w:id="26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6"/>
    <w:bookmarkStart w:id="27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alineació acadèmica com a motiu principal; conciliació només com a sostenibilitat complementària.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recerca com a Educació en Enginyeria del Software; tancar amb seguretat i enllaçar amb la classe magistral.</w:t>
      </w:r>
    </w:p>
    <w:bookmarkEnd w:id="27"/>
    <w:bookmarkStart w:id="28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2026-07-12T16:49:11Z</dcterms:created>
  <dcterms:modified xsi:type="dcterms:W3CDTF">2026-07-12T16:49:11Z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