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bookmarkStart w:id="9" w:name="diagnòstic-general"/>
    <w:p>
      <w:pPr>
        <w:pStyle w:val="Heading2"/>
      </w:pPr>
      <w:r>
        <w:t xml:space="preserve">1. Diagnòstic general</w:t>
      </w:r>
    </w:p>
    <w:p>
      <w:pPr>
        <w:pStyle w:val="FirstParagraph"/>
      </w:pPr>
      <w:r>
        <w:t xml:space="preserve">La presentació té un fil narratiu acadèmicament defensable: situa la microlliçó dins Disseny de Sistemes d’Informació, formula un objectiu d’aprenentatge concret, parteix d’un cas real d’administració pública, diagnostica l’acoblament tecnològic, presenta el port de sortida i transfereix el patró a HexaStock. Aquesta estructura és adequada per a un tribunal perquè no presenta només tecnologia, sinó una decisió de disseny vinculada a docència, experiència professional i rigor arquitectònic.</w:t>
      </w:r>
    </w:p>
    <w:p>
      <w:pPr>
        <w:pStyle w:val="BodyText"/>
      </w:pPr>
      <w:r>
        <w:t xml:space="preserve">El punt més fort és la connexió entre el pla docent i l’informe AGAUR. El pla docent situa l’assignatura a tercer curs, 6 ECTS, amb continguts de clean o hexagonal architecture, ports i adaptadors, mapping entre capes, organització en mòduls, microserveis i DDD. L’informe AGAUR acredita una activitat real de 60 hores, entre maig i juliol de 2025, centrada en serveis REST i arquitectura hexagonal aplicada a sistemes d’informació, amb refactorització de serveis SOAP cap a REST, reducció d’acoblament, separació de responsabilitats, proves i mantenibilitat.</w:t>
      </w:r>
    </w:p>
    <w:p>
      <w:pPr>
        <w:pStyle w:val="BodyText"/>
      </w:pPr>
      <w:r>
        <w:t xml:space="preserve">El risc principal és que algunes diapositives poden confondre tres plans diferents: flux d’execució, dependència de codi i dependència arquitectònica. La recomanació del Dr. Josep Roure és conceptualment correcta: en ports de sortida, l’adaptador implementa el port definit per l’aplicació. Per tant, si la fletxa representa dependència de codi o realització d’interfície, ha d’anar de l’adaptador cap al port, no del port cap a l’adaptador. Si la fletxa representa flux d’execució, aleshores pot anar del servei cap al port, del port cap a l’adaptador i de l’adaptador cap al sistema extern. Les dues lectures són compatibles, però s’han de distingir visualment.</w:t>
      </w:r>
    </w:p>
    <w:p>
      <w:pPr>
        <w:pStyle w:val="BodyText"/>
      </w:pPr>
      <w:r>
        <w:t xml:space="preserve">També hi ha detalls formals que convindria revisar abans de la defensa:</w:t>
      </w:r>
      <w:r>
        <w:t xml:space="preserve"> </w:t>
      </w:r>
      <w:r>
        <w:rPr>
          <w:rStyle w:val="VerbatimChar"/>
        </w:rPr>
        <w:t xml:space="preserve">Generarlitat</w:t>
      </w:r>
      <w:r>
        <w:t xml:space="preserve"> </w:t>
      </w:r>
      <w:r>
        <w:t xml:space="preserve">hauria de ser</w:t>
      </w:r>
      <w:r>
        <w:t xml:space="preserve"> </w:t>
      </w:r>
      <w:r>
        <w:rPr>
          <w:rStyle w:val="VerbatimChar"/>
        </w:rPr>
        <w:t xml:space="preserve">Generalitat</w:t>
      </w:r>
      <w:r>
        <w:t xml:space="preserve">;</w:t>
      </w:r>
      <w:r>
        <w:t xml:space="preserve"> </w:t>
      </w:r>
      <w:r>
        <w:rPr>
          <w:rStyle w:val="VerbatimChar"/>
        </w:rPr>
        <w:t xml:space="preserve">tecnología</w:t>
      </w:r>
      <w:r>
        <w:t xml:space="preserve"> </w:t>
      </w:r>
      <w:r>
        <w:t xml:space="preserve">hauria de ser</w:t>
      </w:r>
      <w:r>
        <w:t xml:space="preserve"> </w:t>
      </w:r>
      <w:r>
        <w:rPr>
          <w:rStyle w:val="VerbatimChar"/>
        </w:rPr>
        <w:t xml:space="preserve">tecnologia</w:t>
      </w:r>
      <w:r>
        <w:t xml:space="preserve">;</w:t>
      </w:r>
      <w:r>
        <w:t xml:space="preserve"> </w:t>
      </w:r>
      <w:r>
        <w:rPr>
          <w:rStyle w:val="VerbatimChar"/>
        </w:rPr>
        <w:t xml:space="preserve">necesita</w:t>
      </w:r>
      <w:r>
        <w:t xml:space="preserve"> </w:t>
      </w:r>
      <w:r>
        <w:t xml:space="preserve">hauria de ser</w:t>
      </w:r>
      <w:r>
        <w:t xml:space="preserve"> </w:t>
      </w:r>
      <w:r>
        <w:rPr>
          <w:rStyle w:val="VerbatimChar"/>
        </w:rPr>
        <w:t xml:space="preserve">necessita</w:t>
      </w:r>
      <w:r>
        <w:t xml:space="preserve">;</w:t>
      </w:r>
      <w:r>
        <w:t xml:space="preserve"> </w:t>
      </w:r>
      <w:r>
        <w:rPr>
          <w:rStyle w:val="VerbatimChar"/>
        </w:rPr>
        <w:t xml:space="preserve">d´ús</w:t>
      </w:r>
      <w:r>
        <w:t xml:space="preserve"> </w:t>
      </w:r>
      <w:r>
        <w:t xml:space="preserve">hauria de ser</w:t>
      </w:r>
      <w:r>
        <w:t xml:space="preserve"> </w:t>
      </w:r>
      <w:r>
        <w:rPr>
          <w:rStyle w:val="VerbatimChar"/>
        </w:rPr>
        <w:t xml:space="preserve">d'ús</w:t>
      </w:r>
      <w:r>
        <w:t xml:space="preserve">; la numeració de diapositives 3 i 4 apareix duplicada; i les notes del presentador de les diapositives 1 i 2 contenen informació sobre PICA que correspon millor a les diapositives 5 o 6. La correcció</w:t>
      </w:r>
      <w:r>
        <w:t xml:space="preserve"> </w:t>
      </w:r>
      <w:r>
        <w:rPr>
          <w:rStyle w:val="VerbatimChar"/>
        </w:rPr>
        <w:t xml:space="preserve">desacoplada</w:t>
      </w:r>
      <w:r>
        <w:t xml:space="preserve"> </w:t>
      </w:r>
      <w:r>
        <w:t xml:space="preserve">-&gt;</w:t>
      </w:r>
      <w:r>
        <w:t xml:space="preserve"> </w:t>
      </w:r>
      <w:r>
        <w:rPr>
          <w:rStyle w:val="VerbatimChar"/>
        </w:rPr>
        <w:t xml:space="preserve">desacoblada</w:t>
      </w:r>
      <w:r>
        <w:t xml:space="preserve"> </w:t>
      </w:r>
      <w:r>
        <w:t xml:space="preserve">ja s’ha aplicat a la diapositiva 2.</w:t>
      </w:r>
    </w:p>
    <w:bookmarkEnd w:id="9"/>
    <w:bookmarkStart w:id="10" w:name="millores-proposades-per-diapositiva"/>
    <w:p>
      <w:pPr>
        <w:pStyle w:val="Heading2"/>
      </w:pPr>
      <w:r>
        <w:t xml:space="preserve">2. Millores proposades per diapositiva</w:t>
      </w:r>
    </w:p>
    <w:p>
      <w:pPr>
        <w:pStyle w:val="FirstParagraph"/>
      </w:pPr>
      <w:r>
        <w:rPr>
          <w:b/>
          <w:bCs/>
        </w:rPr>
        <w:t xml:space="preserve">Diapositiva 1. Portada</w:t>
      </w:r>
    </w:p>
    <w:p>
      <w:pPr>
        <w:pStyle w:val="BodyText"/>
      </w:pPr>
      <w:r>
        <w:t xml:space="preserve">Mantindria el títol. És clar, tècnic i ajustat. Afegiria oralment, no necessàriament a la diapositiva, que l’informe AGAUR està incorporat a la documentació del tribunal com a evidència de la connexió entre docència i pràctica professional. No carregaria la portada amb més text.</w:t>
      </w:r>
    </w:p>
    <w:p>
      <w:pPr>
        <w:pStyle w:val="BodyText"/>
      </w:pPr>
      <w:r>
        <w:rPr>
          <w:b/>
          <w:bCs/>
        </w:rPr>
        <w:t xml:space="preserve">Diapositiva 2. On som dins l’assignatura</w:t>
      </w:r>
    </w:p>
    <w:p>
      <w:pPr>
        <w:pStyle w:val="BodyText"/>
      </w:pPr>
      <w:r>
        <w:t xml:space="preserve">La diapositiva funciona. Correcció aplicada:</w:t>
      </w:r>
      <w:r>
        <w:t xml:space="preserve"> </w:t>
      </w:r>
      <w:r>
        <w:rPr>
          <w:rStyle w:val="VerbatimChar"/>
        </w:rPr>
        <w:t xml:space="preserve">desacoplada</w:t>
      </w:r>
      <w:r>
        <w:t xml:space="preserve"> </w:t>
      </w:r>
      <w:r>
        <w:t xml:space="preserve">s’ha substituït per</w:t>
      </w:r>
      <w:r>
        <w:t xml:space="preserve"> </w:t>
      </w:r>
      <w:r>
        <w:rPr>
          <w:rStyle w:val="VerbatimChar"/>
        </w:rPr>
        <w:t xml:space="preserve">desacoblada</w:t>
      </w:r>
      <w:r>
        <w:t xml:space="preserve">. També s’ha reforçat el vincle amb el pla docent amb una referència discreta:</w:t>
      </w:r>
      <w:r>
        <w:t xml:space="preserve"> </w:t>
      </w:r>
      <w:r>
        <w:rPr>
          <w:rStyle w:val="VerbatimChar"/>
        </w:rPr>
        <w:t xml:space="preserve">Pla docent 103322: clean/hexagonal architecture, ports i adaptadors, mapping, mòduls i DDD</w:t>
      </w:r>
      <w:r>
        <w:t xml:space="preserve">. No cal citar tot el pla docent; amb aquesta referència n’hi ha prou.</w:t>
      </w:r>
    </w:p>
    <w:p>
      <w:pPr>
        <w:pStyle w:val="BodyText"/>
      </w:pPr>
      <w:r>
        <w:rPr>
          <w:b/>
          <w:bCs/>
        </w:rPr>
        <w:t xml:space="preserve">Diapositives 3 i 4. Objectiu d’aprenentatge</w:t>
      </w:r>
    </w:p>
    <w:p>
      <w:pPr>
        <w:pStyle w:val="BodyText"/>
      </w:pPr>
      <w:r>
        <w:t xml:space="preserve">Hi ha una duplicació útil però visualment confusa. La 3 dona el principi; la 4 dona les operacions que l’estudiant ha de poder fer. Es poden mantenir totes dues si es corregeix la numeració i es presenta la 3 com a idea nuclear i la 4 com a resultat observable. Alternativa: fusionar-les si cal retallar temps.</w:t>
      </w:r>
    </w:p>
    <w:p>
      <w:pPr>
        <w:pStyle w:val="BodyText"/>
      </w:pPr>
      <w:r>
        <w:rPr>
          <w:b/>
          <w:bCs/>
        </w:rPr>
        <w:t xml:space="preserve">Diapositiva 5. Avaluació econòmica d’una beca</w:t>
      </w:r>
    </w:p>
    <w:p>
      <w:pPr>
        <w:pStyle w:val="BodyText"/>
      </w:pPr>
      <w:r>
        <w:t xml:space="preserve">La diapositiva situa bé el cas funcional abans de la tecnologia. La frase</w:t>
      </w:r>
      <w:r>
        <w:t xml:space="preserve"> </w:t>
      </w:r>
      <w:r>
        <w:rPr>
          <w:rStyle w:val="VerbatimChar"/>
        </w:rPr>
        <w:t xml:space="preserve">no es pot concedir la beca</w:t>
      </w:r>
      <w:r>
        <w:t xml:space="preserve"> </w:t>
      </w:r>
      <w:r>
        <w:t xml:space="preserve">és entenedora; oralment convé formular-la amb prudència: si no es compleixen els requisits econòmics, l’expedient no avança favorablement en aquest tram del procediment. El diagrama petit pot ser difícil de llegir; si no es retoca, cal assenyalar només el bloc d’avaluació econòmica.</w:t>
      </w:r>
    </w:p>
    <w:p>
      <w:pPr>
        <w:pStyle w:val="BodyText"/>
      </w:pPr>
      <w:r>
        <w:rPr>
          <w:b/>
          <w:bCs/>
        </w:rPr>
        <w:t xml:space="preserve">Diapositiva 6. Informació externa</w:t>
      </w:r>
    </w:p>
    <w:p>
      <w:pPr>
        <w:pStyle w:val="BodyText"/>
      </w:pPr>
      <w:r>
        <w:t xml:space="preserve">La idea és molt bona: necessitat funcional abans que API concreta. Corregir</w:t>
      </w:r>
      <w:r>
        <w:t xml:space="preserve"> </w:t>
      </w:r>
      <w:r>
        <w:rPr>
          <w:rStyle w:val="VerbatimChar"/>
        </w:rPr>
        <w:t xml:space="preserve">Generarlitat</w:t>
      </w:r>
      <w:r>
        <w:t xml:space="preserve">. La definició de PICA a peu de pàgina és llarga i petita; es podria reduir a:</w:t>
      </w:r>
      <w:r>
        <w:t xml:space="preserve"> </w:t>
      </w:r>
      <w:r>
        <w:rPr>
          <w:rStyle w:val="VerbatimChar"/>
        </w:rPr>
        <w:t xml:space="preserve">PICA: plataforma corporativa d'interoperabilitat administrativa de la Generalitat</w:t>
      </w:r>
      <w:r>
        <w:t xml:space="preserve">. La resta s’explica oralment.</w:t>
      </w:r>
    </w:p>
    <w:p>
      <w:pPr>
        <w:pStyle w:val="BodyText"/>
      </w:pPr>
      <w:r>
        <w:rPr>
          <w:b/>
          <w:bCs/>
        </w:rPr>
        <w:t xml:space="preserve">Diapositiva 7. Dependència directa</w:t>
      </w:r>
    </w:p>
    <w:p>
      <w:pPr>
        <w:pStyle w:val="BodyText"/>
      </w:pPr>
      <w:r>
        <w:t xml:space="preserve">Funciona com a diapositiva de problema. Recomanació: si no es vol aportar una font pública específica sobre</w:t>
      </w:r>
      <w:r>
        <w:t xml:space="preserve"> </w:t>
      </w:r>
      <w:r>
        <w:rPr>
          <w:rStyle w:val="VerbatimChar"/>
        </w:rPr>
        <w:t xml:space="preserve">principis del CTTI</w:t>
      </w:r>
      <w:r>
        <w:t xml:space="preserve">, suavitzar la frase inicial:</w:t>
      </w:r>
      <w:r>
        <w:t xml:space="preserve"> </w:t>
      </w:r>
      <w:r>
        <w:rPr>
          <w:rStyle w:val="VerbatimChar"/>
        </w:rPr>
        <w:t xml:space="preserve">En arquitectures corporatives, l'orientació habitual és reduir l'acoblament i encapsular la integració amb sistemes externs</w:t>
      </w:r>
      <w:r>
        <w:t xml:space="preserve">. Mantindria la frase final:</w:t>
      </w:r>
      <w:r>
        <w:t xml:space="preserve"> </w:t>
      </w:r>
      <w:r>
        <w:rPr>
          <w:rStyle w:val="VerbatimChar"/>
        </w:rPr>
        <w:t xml:space="preserve">El problema no és consumir PICA; és que el procediment en depengui directament</w:t>
      </w:r>
      <w:r>
        <w:t xml:space="preserve">.</w:t>
      </w:r>
    </w:p>
    <w:p>
      <w:pPr>
        <w:pStyle w:val="BodyText"/>
      </w:pPr>
      <w:r>
        <w:rPr>
          <w:b/>
          <w:bCs/>
        </w:rPr>
        <w:t xml:space="preserve">Diapositiva 8. Port de sortida i adaptador</w:t>
      </w:r>
    </w:p>
    <w:p>
      <w:pPr>
        <w:pStyle w:val="BodyText"/>
      </w:pPr>
      <w:r>
        <w:t xml:space="preserve">Aquí cal aplicar la millora de fletxes. La seqüència vertical actual explica bé el flux d’execució, però no la dependència de codi. Proposta visual:</w:t>
      </w:r>
    </w:p>
    <w:p>
      <w:pPr>
        <w:pStyle w:val="Compact"/>
        <w:numPr>
          <w:ilvl w:val="0"/>
          <w:numId w:val="1002"/>
        </w:numPr>
      </w:pPr>
      <w:r>
        <w:t xml:space="preserve">Fletxa continua i fina cap avall:</w:t>
      </w:r>
      <w:r>
        <w:t xml:space="preserve"> </w:t>
      </w:r>
      <w:r>
        <w:rPr>
          <w:rStyle w:val="VerbatimChar"/>
        </w:rPr>
        <w:t xml:space="preserve">flux d'execució</w:t>
      </w:r>
      <w:r>
        <w:t xml:space="preserve">.</w:t>
      </w:r>
    </w:p>
    <w:p>
      <w:pPr>
        <w:pStyle w:val="Compact"/>
        <w:numPr>
          <w:ilvl w:val="0"/>
          <w:numId w:val="1002"/>
        </w:numPr>
      </w:pPr>
      <w:r>
        <w:t xml:space="preserve">Fletxa discontinua o d’un altre color de l’adaptador cap al port:</w:t>
      </w:r>
      <w:r>
        <w:t xml:space="preserve"> </w:t>
      </w:r>
      <w:r>
        <w:rPr>
          <w:rStyle w:val="VerbatimChar"/>
        </w:rPr>
        <w:t xml:space="preserve">dependència de codi / implementa</w:t>
      </w:r>
      <w:r>
        <w:t xml:space="preserve">.</w:t>
      </w:r>
    </w:p>
    <w:p>
      <w:pPr>
        <w:pStyle w:val="Compact"/>
        <w:numPr>
          <w:ilvl w:val="0"/>
          <w:numId w:val="1002"/>
        </w:numPr>
      </w:pPr>
      <w:r>
        <w:t xml:space="preserve">Text lateral:</w:t>
      </w:r>
      <w:r>
        <w:t xml:space="preserve"> </w:t>
      </w:r>
      <w:r>
        <w:rPr>
          <w:rStyle w:val="VerbatimChar"/>
        </w:rPr>
        <w:t xml:space="preserve">El servei usa el port; l'adaptador implementa el port</w:t>
      </w:r>
      <w:r>
        <w:t xml:space="preserve">.</w:t>
      </w:r>
    </w:p>
    <w:p>
      <w:pPr>
        <w:pStyle w:val="FirstParagraph"/>
      </w:pPr>
      <w:r>
        <w:t xml:space="preserve">Això permet dir: el cas d’ús crida una capacitat definida pel port, però la implementació concreta depèn del contracte de l’aplicació.</w:t>
      </w:r>
    </w:p>
    <w:p>
      <w:pPr>
        <w:pStyle w:val="BodyText"/>
      </w:pPr>
      <w:r>
        <w:rPr>
          <w:b/>
          <w:bCs/>
        </w:rPr>
        <w:t xml:space="preserve">Diapositiva 9. Port de sortida per a informació patrimonial</w:t>
      </w:r>
    </w:p>
    <w:p>
      <w:pPr>
        <w:pStyle w:val="BodyText"/>
      </w:pPr>
      <w:r>
        <w:t xml:space="preserve">La frase superior és molt bona. El diagrama, però, manté</w:t>
      </w:r>
      <w:r>
        <w:t xml:space="preserve"> </w:t>
      </w:r>
      <w:r>
        <w:rPr>
          <w:rStyle w:val="VerbatimChar"/>
        </w:rPr>
        <w:t xml:space="preserve">implemented by</w:t>
      </w:r>
      <w:r>
        <w:t xml:space="preserve"> </w:t>
      </w:r>
      <w:r>
        <w:t xml:space="preserve">amb fletxes que visualment semblen sortir del port cap a l’adaptador. Proposta: invertir aquestes fletxes o canviar-ne l’etiqueta a</w:t>
      </w:r>
      <w:r>
        <w:t xml:space="preserve"> </w:t>
      </w:r>
      <w:r>
        <w:rPr>
          <w:rStyle w:val="VerbatimChar"/>
        </w:rPr>
        <w:t xml:space="preserve">implementa</w:t>
      </w:r>
      <w:r>
        <w:t xml:space="preserve">, amb la direcció adaptador -&gt; port. Mantenir les fletxes de</w:t>
      </w:r>
      <w:r>
        <w:t xml:space="preserve"> </w:t>
      </w:r>
      <w:r>
        <w:rPr>
          <w:rStyle w:val="VerbatimChar"/>
        </w:rPr>
        <w:t xml:space="preserve">uses</w:t>
      </w:r>
      <w:r>
        <w:t xml:space="preserve"> </w:t>
      </w:r>
      <w:r>
        <w:t xml:space="preserve">des del servei cap als ports si es vol representar el flux d’execució.</w:t>
      </w:r>
    </w:p>
    <w:p>
      <w:pPr>
        <w:pStyle w:val="BodyText"/>
      </w:pPr>
      <w:r>
        <w:rPr>
          <w:b/>
          <w:bCs/>
        </w:rPr>
        <w:t xml:space="preserve">Diapositiva 10. Transferència a domini financer</w:t>
      </w:r>
    </w:p>
    <w:p>
      <w:pPr>
        <w:pStyle w:val="BodyText"/>
      </w:pPr>
      <w:r>
        <w:t xml:space="preserve">La transferència és clara. El diagrama HexaStock, com el d’AGAUR, hauria de distingir flux d’execució i dependència de codi. Especialment en</w:t>
      </w:r>
      <w:r>
        <w:t xml:space="preserve"> </w:t>
      </w:r>
      <w:r>
        <w:rPr>
          <w:rStyle w:val="VerbatimChar"/>
        </w:rPr>
        <w:t xml:space="preserve">StockPriceProviderPort</w:t>
      </w:r>
      <w:r>
        <w:t xml:space="preserve">, convé que</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i</w:t>
      </w:r>
      <w:r>
        <w:t xml:space="preserve"> </w:t>
      </w:r>
      <w:r>
        <w:rPr>
          <w:rStyle w:val="VerbatimChar"/>
        </w:rPr>
        <w:t xml:space="preserve">MockFinhubStockPriceAdapter</w:t>
      </w:r>
      <w:r>
        <w:t xml:space="preserve"> </w:t>
      </w:r>
      <w:r>
        <w:t xml:space="preserve">apareguin com a implementacions que apunten cap al port. El missatge inferior és correcte i s’ha de mantenir.</w:t>
      </w:r>
    </w:p>
    <w:p>
      <w:pPr>
        <w:pStyle w:val="BodyText"/>
      </w:pPr>
      <w:r>
        <w:rPr>
          <w:b/>
          <w:bCs/>
        </w:rPr>
        <w:t xml:space="preserve">Diapositiva 11. Flux i codi essencial</w:t>
      </w:r>
    </w:p>
    <w:p>
      <w:pPr>
        <w:pStyle w:val="BodyText"/>
      </w:pPr>
      <w:r>
        <w:t xml:space="preserve">La diapositiva és forta perquè mostra el flux temporal. Afegiria oralment una frase preventiva:</w:t>
      </w:r>
      <w:r>
        <w:t xml:space="preserve"> </w:t>
      </w:r>
      <w:r>
        <w:rPr>
          <w:rStyle w:val="VerbatimChar"/>
        </w:rPr>
        <w:t xml:space="preserve">Aquest diagrama de seqüència representa ordre d'execució, no direcció de dependències de codi</w:t>
      </w:r>
      <w:r>
        <w:t xml:space="preserve">. Això evita contradiccions amb les diapositives 8-10.</w:t>
      </w:r>
    </w:p>
    <w:p>
      <w:pPr>
        <w:pStyle w:val="BodyText"/>
      </w:pPr>
      <w:r>
        <w:rPr>
          <w:b/>
          <w:bCs/>
        </w:rPr>
        <w:t xml:space="preserve">Diapositiva 12. Demo</w:t>
      </w:r>
    </w:p>
    <w:p>
      <w:pPr>
        <w:pStyle w:val="BodyText"/>
      </w:pPr>
      <w:r>
        <w:t xml:space="preserve">Funciona com a demostració controlada. Substituiria</w:t>
      </w:r>
      <w:r>
        <w:t xml:space="preserve"> </w:t>
      </w:r>
      <w:r>
        <w:rPr>
          <w:rStyle w:val="VerbatimChar"/>
        </w:rPr>
        <w:t xml:space="preserve">consultoria empresarial</w:t>
      </w:r>
      <w:r>
        <w:t xml:space="preserve"> </w:t>
      </w:r>
      <w:r>
        <w:t xml:space="preserve">per</w:t>
      </w:r>
      <w:r>
        <w:t xml:space="preserve"> </w:t>
      </w:r>
      <w:r>
        <w:rPr>
          <w:rStyle w:val="VerbatimChar"/>
        </w:rPr>
        <w:t xml:space="preserve">formació o consultoria professional</w:t>
      </w:r>
      <w:r>
        <w:t xml:space="preserve">, perquè en aquest context la referència principal és administració pública i universitat. Si es fa demo real, cal tenir preparada una versió sense internet ni claus.</w:t>
      </w:r>
    </w:p>
    <w:p>
      <w:pPr>
        <w:pStyle w:val="BodyText"/>
      </w:pPr>
      <w:r>
        <w:rPr>
          <w:b/>
          <w:bCs/>
        </w:rPr>
        <w:t xml:space="preserve">Diapositiva 13. Agraïment</w:t>
      </w:r>
    </w:p>
    <w:p>
      <w:pPr>
        <w:pStyle w:val="BodyText"/>
      </w:pPr>
      <w:r>
        <w:t xml:space="preserve">Correcta i institucional. El pla docent identifica el professor com a Josep Roure Alcobé; per coherència documental, faria servir</w:t>
      </w:r>
      <w:r>
        <w:t xml:space="preserve"> </w:t>
      </w:r>
      <w:r>
        <w:rPr>
          <w:rStyle w:val="VerbatimChar"/>
        </w:rPr>
        <w:t xml:space="preserve">Dr. Josep Roure Alcobé</w:t>
      </w:r>
      <w:r>
        <w:t xml:space="preserve">. El text es pot llegir només parcialment; millor tancar mirant el tribunal.</w:t>
      </w:r>
    </w:p>
    <w:bookmarkEnd w:id="10"/>
    <w:bookmarkStart w:id="24" w:name="guió-oral-complet-imprimible"/>
    <w:p>
      <w:pPr>
        <w:pStyle w:val="Heading2"/>
      </w:pPr>
      <w:r>
        <w:t xml:space="preserve">3. Guió oral complet imprimible</w:t>
      </w:r>
    </w:p>
    <w:p>
      <w:pPr>
        <w:pStyle w:val="FirstParagraph"/>
      </w:pPr>
      <w:r>
        <w:t xml:space="preserve">Temps total previst: 20:00.</w:t>
      </w:r>
    </w:p>
    <w:bookmarkStart w:id="11" w:name="diapositiva-1.-portada---145"/>
    <w:p>
      <w:pPr>
        <w:pStyle w:val="Heading3"/>
      </w:pPr>
      <w:r>
        <w:t xml:space="preserve">Diapositiva 1. Portada - 1:45</w:t>
      </w:r>
    </w:p>
    <w:p>
      <w:pPr>
        <w:pStyle w:val="FirstParagraph"/>
      </w:pPr>
      <w:r>
        <w:t xml:space="preserve">Bon dia, membres del tribunal. [pausa breu, mirada al tribunal]</w:t>
      </w:r>
    </w:p>
    <w:p>
      <w:pPr>
        <w:pStyle w:val="BodyText"/>
      </w:pPr>
      <w:r>
        <w:t xml:space="preserve">La microlliçó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del tribunal he incorporat un informe acreditatiu de la meva activitat de formació i consultoria especialitzada per a l’AGAUR, l’Agència de Gestió d’Ajuts Universitaris i de Recerca. Aquest informe acredita una activitat de 60 hores, desenvolupada entre maig i juliol de 2025, centrada en serveis REST, arquitectura hexagonal i sistemes d’informació. [pausa breu]</w:t>
      </w:r>
    </w:p>
    <w:p>
      <w:pPr>
        <w:pStyle w:val="BodyText"/>
      </w:pPr>
      <w:r>
        <w:t xml:space="preserve">Ho explico al principi perquè aquesta sessió està plantejada deliberadament a partir d’una doble vinculació. D’una banda, és una microlliçó situada dins l’assignatura Disseny de Sistemes d’Informació, que imparteixo juntament amb el Dr. Josep Roure. De l’altra, parteix d’un cas professional real en l’àmbit de l’administració pública catalana. [mirada al tribunal]</w:t>
      </w:r>
    </w:p>
    <w:p>
      <w:pPr>
        <w:pStyle w:val="BodyText"/>
      </w:pPr>
      <w:r>
        <w:t xml:space="preserve">La intenció no és revelar cap detall intern, ni cap endpoint, ni cap dada sensible. La intenció és docent: mostrar com conceptes que treballem a l’aula, com ports, adaptadors, inversió de dependències i separació entre domini, aplicació i infraestructura, apareixen també en problemes reals d’evolució de sistemes d’informació. [pausa]</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11"/>
    <w:bookmarkStart w:id="12" w:name="X794484db9c2056c88eef6400cfc1ece43aa7669"/>
    <w:p>
      <w:pPr>
        <w:pStyle w:val="Heading3"/>
      </w:pPr>
      <w:r>
        <w:t xml:space="preserve">Diapositiva 2. On som dins l’assignatura - 1:15</w:t>
      </w:r>
    </w:p>
    <w:p>
      <w:pPr>
        <w:pStyle w:val="FirstParagraph"/>
      </w:pPr>
      <w:r>
        <w:t xml:space="preserve">La sessió se situa dins Disseny de Sistemes d’Informació, una assignatura obligatòria de tercer curs, de 6 ECTS. [assenyalar la part esquerra]</w:t>
      </w:r>
    </w:p>
    <w:p>
      <w:pPr>
        <w:pStyle w:val="BodyText"/>
      </w:pPr>
      <w: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
    </w:p>
    <w:p>
      <w:pPr>
        <w:pStyle w:val="BodyText"/>
      </w:pPr>
      <w:r>
        <w:t xml:space="preserve">Per tant, aquesta no és una sessió afegida artificialment al temari. És una microlliçó versemblant dins l’assignatura. [pausa breu]</w:t>
      </w:r>
    </w:p>
    <w:p>
      <w:pPr>
        <w:pStyle w:val="BodyText"/>
      </w:pPr>
      <w: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
    </w:p>
    <w:bookmarkEnd w:id="12"/>
    <w:bookmarkStart w:id="13" w:name="Xcd10137b994bbd0c2141d94e0703e6e7cebfe27"/>
    <w:p>
      <w:pPr>
        <w:pStyle w:val="Heading3"/>
      </w:pPr>
      <w:r>
        <w:t xml:space="preserve">Diapositiva 3. Objectiu d’aprenentatge - 1:10</w:t>
      </w:r>
    </w:p>
    <w:p>
      <w:pPr>
        <w:pStyle w:val="FirstParagraph"/>
      </w:pPr>
      <w:r>
        <w:t xml:space="preserve">La idea central de la sessió és aquesta: el servei d’aplicació necessita una capacitat, no una tecnologia. [pausa breu; mirar el tribunal]</w:t>
      </w:r>
    </w:p>
    <w:p>
      <w:pPr>
        <w:pStyle w:val="BodyText"/>
      </w:pPr>
      <w:r>
        <w:t xml:space="preserve">Aquesta frase és important perquè ens obliga a canviar la pregunta. La pregunta no hauria de ser, d’entrada,</w:t>
      </w:r>
      <w:r>
        <w:t xml:space="preserve"> </w:t>
      </w:r>
      <w:r>
        <w:rPr>
          <w:rStyle w:val="VerbatimChar"/>
        </w:rPr>
        <w:t xml:space="preserve">quina API crido?</w:t>
      </w:r>
      <w:r>
        <w:t xml:space="preserve">, o</w:t>
      </w:r>
      <w:r>
        <w:t xml:space="preserve"> </w:t>
      </w:r>
      <w:r>
        <w:rPr>
          <w:rStyle w:val="VerbatimChar"/>
        </w:rPr>
        <w:t xml:space="preserve">quin client SOAP o REST faig servir?</w:t>
      </w:r>
      <w:r>
        <w:t xml:space="preserve">. La pregunta inicial hauria de ser:</w:t>
      </w:r>
      <w:r>
        <w:t xml:space="preserve"> </w:t>
      </w:r>
      <w:r>
        <w:rPr>
          <w:rStyle w:val="VerbatimChar"/>
        </w:rPr>
        <w:t xml:space="preserve">quina capacitat necessita el cas d'ús per poder completar la seva responsabilitat?</w:t>
      </w:r>
    </w:p>
    <w:p>
      <w:pPr>
        <w:pStyle w:val="BodyText"/>
      </w:pPr>
      <w:r>
        <w:t xml:space="preserve">En arquitectura hexagonal, aquest canvi de pregunta és fonamental. El nucli de l’aplicació ha de parlar en el llenguatge del problema, no en el llenguatge accidental de la infraestructura. [assenyalar el centre del diagrama]</w:t>
      </w:r>
    </w:p>
    <w:p>
      <w:pPr>
        <w:pStyle w:val="BodyText"/>
      </w:pPr>
      <w:r>
        <w:t xml:space="preserve">El llibre de Tom Hombergs sobre Clean Architecture ho formula en la mateixa direcció conceptual: les dependències han d’apuntar cap al nucli, i el domini no ha de quedar condicionat per frameworks, bases de dades, interfícies d’usuari o sistemes externs. No es tracta d’ignorar que aquests sistemes existeixen. Es tracta de posar-los al lloc arquitectònic que els correspon.</w:t>
      </w:r>
    </w:p>
    <w:bookmarkEnd w:id="13"/>
    <w:bookmarkStart w:id="14" w:name="Xa12105f40897091b4e43e058aa4b9bf768fb89e"/>
    <w:p>
      <w:pPr>
        <w:pStyle w:val="Heading3"/>
      </w:pPr>
      <w:r>
        <w:t xml:space="preserve">Diapositiva 4. Objectiu d’aprenentatge II - 0:50</w:t>
      </w:r>
    </w:p>
    <w:p>
      <w:pPr>
        <w:pStyle w:val="FirstParagraph"/>
      </w:pPr>
      <w:r>
        <w:t xml:space="preserve">Per convertir aquesta idea en aprenentatge observable, podem formular tres accions. [assenyalar les tres caixes]</w:t>
      </w:r>
    </w:p>
    <w:p>
      <w:pPr>
        <w:pStyle w:val="BodyText"/>
      </w:pPr>
      <w:r>
        <w:t xml:space="preserve">Primer, identificar la necessitat o capacitat. Segon, definir un port que expressi aquesta necessitat en el llenguatge de l’aplicació. I tercer, implementar adaptadors que resolguin aquesta necessitat amb tecnologies concretes.</w:t>
      </w:r>
    </w:p>
    <w:p>
      <w:pPr>
        <w:pStyle w:val="BodyText"/>
      </w:pPr>
      <w:r>
        <w:t xml:space="preserve">Dit d’una altra manera: l’estudiant no només hauria de memoritzar que existeixen ports i adaptadors. Hauria de poder mirar un cas d’ús, detectar on apareix l’acoblament tecnològic, i proposar una frontera arquitectònica que permeti substituir la infraestructura sense modificar el cas d’ús ni el domini. [pausa breu]</w:t>
      </w:r>
    </w:p>
    <w:p>
      <w:pPr>
        <w:pStyle w:val="BodyText"/>
      </w:pPr>
      <w:r>
        <w:t xml:space="preserve">Ara ho veurem amb un cas funcional.</w:t>
      </w:r>
    </w:p>
    <w:bookmarkEnd w:id="14"/>
    <w:bookmarkStart w:id="15" w:name="Xb1c176126e25cc487f84f2d677658c9e0434ef5"/>
    <w:p>
      <w:pPr>
        <w:pStyle w:val="Heading3"/>
      </w:pPr>
      <w:r>
        <w:t xml:space="preserve">Diapositiva 5. Avaluació econòmica d’una beca - 1:45</w:t>
      </w:r>
    </w:p>
    <w:p>
      <w:pPr>
        <w:pStyle w:val="FirstParagraph"/>
      </w:pPr>
      <w:r>
        <w:t xml:space="preserve">Abans de parlar d’arquitectura de programari,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Si els requisits econòmics no es compleixen, l’expedient no avança favorablement en aquest tram del procediment.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5"/>
    <w:bookmarkStart w:id="16" w:name="X33394f776bbe76b73a7cb438bc3a259e6d1ad92"/>
    <w:p>
      <w:pPr>
        <w:pStyle w:val="Heading3"/>
      </w:pPr>
      <w:r>
        <w:t xml:space="preserve">Diapositiva 6.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microlliçó,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la API concreta no sigui important. Ho és, i molt. Però pertany a un altre nivell de decisió. El cas d’ús ha de poder dir:</w:t>
      </w:r>
      <w:r>
        <w:t xml:space="preserve"> </w:t>
      </w:r>
      <w:r>
        <w:rPr>
          <w:rStyle w:val="VerbatimChar"/>
        </w:rPr>
        <w:t xml:space="preserve">necessito informació patrimonial avaluable</w:t>
      </w:r>
      <w:r>
        <w:t xml:space="preserve">. L’adaptador ja resoldrà si aquesta informació arriba per SOAP, REST, PICA, un certificat, una base de dades corporativa o un mecanisme futur.</w:t>
      </w:r>
    </w:p>
    <w:p>
      <w:pPr>
        <w:pStyle w:val="BodyText"/>
      </w:pPr>
      <w:r>
        <w:t xml:space="preserve">Quan aquesta separació no es respecta, apareix el problema arquitectònic que veurem ara.</w:t>
      </w:r>
    </w:p>
    <w:bookmarkEnd w:id="16"/>
    <w:bookmarkStart w:id="17" w:name="X96cb14feb9aa6cee6140ca06f960605cefc01dc"/>
    <w:p>
      <w:pPr>
        <w:pStyle w:val="Heading3"/>
      </w:pPr>
      <w:r>
        <w:t xml:space="preserve">Diapositiva 7. Dependència directa entre procediment i integració - 2:00</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del programari,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7"/>
    <w:bookmarkStart w:id="18" w:name="X38be71501c3b4b4c6f3d9d02d0cb22f98a9980c"/>
    <w:p>
      <w:pPr>
        <w:pStyle w:val="Heading3"/>
      </w:pPr>
      <w:r>
        <w:t xml:space="preserve">Diapositiva 8. Port de sortida i adaptador - 1:25</w:t>
      </w:r>
    </w:p>
    <w:p>
      <w:pPr>
        <w:pStyle w:val="FirstParagraph"/>
      </w:pPr>
      <w:r>
        <w:t xml:space="preserve">Un port de sortida és un contracte definit des de l’aplicació. [pausa breu]</w:t>
      </w:r>
    </w:p>
    <w:p>
      <w:pPr>
        <w:pStyle w:val="BodyText"/>
      </w:pPr>
      <w:r>
        <w:t xml:space="preserve">El cas d’ús o el servei d’aplicació diu:</w:t>
      </w:r>
      <w:r>
        <w:t xml:space="preserve"> </w:t>
      </w:r>
      <w:r>
        <w:rPr>
          <w:rStyle w:val="VerbatimChar"/>
        </w:rPr>
        <w:t xml:space="preserve">necessito aquesta capacitat</w:t>
      </w:r>
      <w:r>
        <w:t xml:space="preserve">. Per exemple: obtenir informació patrimonial, recuperar un expedient, desar una transacció o consultar el preu actual d’una acció. El port expressa aquest</w:t>
      </w:r>
      <w:r>
        <w:t xml:space="preserve"> </w:t>
      </w:r>
      <w:r>
        <w:rPr>
          <w:rStyle w:val="VerbatimChar"/>
        </w:rPr>
        <w:t xml:space="preserve">què</w:t>
      </w:r>
      <w:r>
        <w:t xml:space="preserve">. [assenyalar el port]</w:t>
      </w:r>
    </w:p>
    <w:p>
      <w:pPr>
        <w:pStyle w:val="BodyText"/>
      </w:pPr>
      <w:r>
        <w:t xml:space="preserve">L’adaptador, en canvi, resol el</w:t>
      </w:r>
      <w:r>
        <w:t xml:space="preserve"> </w:t>
      </w:r>
      <w:r>
        <w:rPr>
          <w:rStyle w:val="VerbatimChar"/>
        </w:rPr>
        <w:t xml:space="preserve">com</w:t>
      </w:r>
      <w:r>
        <w:t xml:space="preserve">. És la peça que coneix la tecnologia concreta: SOAP, REST, JDBC, JPA, un client HTTP, una estructura XML, JSON o el mecanisme que sigui necessari. [assenyalar adaptador i sistema extern]</w:t>
      </w:r>
    </w:p>
    <w:p>
      <w:pPr>
        <w:pStyle w:val="BodyText"/>
      </w:pPr>
      <w:r>
        <w:t xml:space="preserve">Aquí convé distingir dues fletxes. Si parlem de flux d’execució, el servei pot cridar el port i arribar finalment a l’adaptador. Però si parlem de dependència de codi, l’adaptador depèn del port, perquè l’adaptador implementa la interfície definida per l’aplicació. [mirada al tribunal]</w:t>
      </w:r>
    </w:p>
    <w:p>
      <w:pPr>
        <w:pStyle w:val="BodyText"/>
      </w:pPr>
      <w:r>
        <w:t xml:space="preserve">Aquesta és la inversió de dependències: el nucli no depèn de la implementació concreta; la implementació concreta depèn del contracte que defineix el nucli.</w:t>
      </w:r>
    </w:p>
    <w:bookmarkEnd w:id="18"/>
    <w:bookmarkStart w:id="19" w:name="X59cad6adc5598639d21057045a6f93470b43f2d"/>
    <w:p>
      <w:pPr>
        <w:pStyle w:val="Heading3"/>
      </w:pPr>
      <w:r>
        <w:t xml:space="preserve">Diapositiva 9. Port de sortida per a informació patrimonial - 1:55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Per això la proposta de revisar les fletxes és encertada. Si la fletxa indica</w:t>
      </w:r>
      <w:r>
        <w:t xml:space="preserve"> </w:t>
      </w:r>
      <w:r>
        <w:rPr>
          <w:rStyle w:val="VerbatimChar"/>
        </w:rPr>
        <w:t xml:space="preserve">implementa</w:t>
      </w:r>
      <w:r>
        <w:t xml:space="preserve">, hauria d’anar de l’adaptador cap al port. El servei usa el port. L’adaptador implementa el port. I el domini no coneix ni l’adaptador, ni PICA, ni SOAP, ni REST.</w:t>
      </w:r>
    </w:p>
    <w:p>
      <w:pPr>
        <w:pStyle w:val="BodyText"/>
      </w:pPr>
      <w:r>
        <w:t xml:space="preserve">Aquesta mateixa estructura la podem transferir ara a un domini financer docent: HexaStock.</w:t>
      </w:r>
    </w:p>
    <w:bookmarkEnd w:id="19"/>
    <w:bookmarkStart w:id="20" w:name="Xfc787a4a7dfb56f5f09a9752b423df7b5ae64e8"/>
    <w:p>
      <w:pPr>
        <w:pStyle w:val="Heading3"/>
      </w:pPr>
      <w:r>
        <w:t xml:space="preserve">Diapositiva 10. Transferència a domini financer - 1:40</w:t>
      </w:r>
    </w:p>
    <w:p>
      <w:pPr>
        <w:pStyle w:val="FirstParagraph"/>
      </w:pPr>
      <w:r>
        <w:t xml:space="preserve">HexaStock ens permet treballar el mateix patró en un domini diferent: la venda d’accions. [assenyalar el títol]</w:t>
      </w:r>
    </w:p>
    <w:p>
      <w:pPr>
        <w:pStyle w:val="BodyText"/>
      </w:pPr>
      <w:r>
        <w:t xml:space="preserve">Aquí el cas d’ús és vendre accions d’una cartera. Per fer-ho correctament, el servei d’aplicació necessita el preu actual del ticker. Però el cas d’ús no hauria de dependre de Finnhub, Alpha Vantage, tokens, endpoints, JSON, clients HTTP o disponibilitat d’internet. [pausa breu]</w:t>
      </w:r>
    </w:p>
    <w:p>
      <w:pPr>
        <w:pStyle w:val="BodyText"/>
      </w:pPr>
      <w:r>
        <w:t xml:space="preserve">El port de sortida és</w:t>
      </w:r>
      <w:r>
        <w:t xml:space="preserve"> </w:t>
      </w:r>
      <w:r>
        <w:rPr>
          <w:rStyle w:val="VerbatimChar"/>
        </w:rPr>
        <w:t xml:space="preserve">StockPriceProviderPort</w:t>
      </w:r>
      <w:r>
        <w:t xml:space="preserve">. Aquest port expressa la capacitat que l’aplicació necessita: obtenir el preu d’una acció. Després podem tenir diferents adaptadors que implementen aquest port:</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o un adaptador mock per a proves i demos controlades.</w:t>
      </w:r>
    </w:p>
    <w:p>
      <w:pPr>
        <w:pStyle w:val="BodyText"/>
      </w:pPr>
      <w:r>
        <w:t xml:space="preserve">El patró és idèntic al cas AGAUR. En el cas administratiu, el procediment necessita informació patrimonial, no una tecnologia concreta. En HexaStock,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20"/>
    <w:bookmarkStart w:id="21" w:name="X52ba5e9e737e38c182d434998da64a8e8df3254"/>
    <w:p>
      <w:pPr>
        <w:pStyle w:val="Heading3"/>
      </w:pPr>
      <w:r>
        <w:t xml:space="preserve">Diapositiva 11. Flux i codi essencial - 1:40</w:t>
      </w:r>
    </w:p>
    <w:p>
      <w:pPr>
        <w:pStyle w:val="FirstParagraph"/>
      </w:pPr>
      <w:r>
        <w:t xml:space="preserve">Aquesta diapositiva mostra el flux temporal del cas d’ús de venda. [assenyalar el diagrama de seqüència]</w:t>
      </w:r>
    </w:p>
    <w:p>
      <w:pPr>
        <w:pStyle w:val="BodyText"/>
      </w:pPr>
      <w:r>
        <w:t xml:space="preserve">Convé aclarir que, en un diagrama de seqüència, les fletxes representen ordre d’execució, no dependències de codi. Això és perfectament compatible amb la inversió de dependències que acabem d’explicar.</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w:t>
      </w:r>
      <w:r>
        <w:t xml:space="preserve"> </w:t>
      </w:r>
      <w:r>
        <w:rPr>
          <w:rStyle w:val="VerbatimChar"/>
        </w:rPr>
        <w:t xml:space="preserve">StockPriceProviderPort</w:t>
      </w:r>
      <w:r>
        <w:t xml:space="preserve">, i després crida el domini:</w:t>
      </w:r>
      <w:r>
        <w:t xml:space="preserve"> </w:t>
      </w:r>
      <w:r>
        <w:rPr>
          <w:rStyle w:val="VerbatimChar"/>
        </w:rPr>
        <w:t xml:space="preserve">portfolio.sell(ticker, quantity, price)</w:t>
      </w:r>
      <w:r>
        <w:t xml:space="preserve">.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bookmarkEnd w:id="21"/>
    <w:bookmarkStart w:id="22" w:name="diapositiva-12.-demo---140"/>
    <w:p>
      <w:pPr>
        <w:pStyle w:val="Heading3"/>
      </w:pPr>
      <w:r>
        <w:t xml:space="preserve">Diapositiva 12. Demo - 1:40</w:t>
      </w:r>
    </w:p>
    <w:p>
      <w:pPr>
        <w:pStyle w:val="FirstParagraph"/>
      </w:pPr>
      <w:r>
        <w:t xml:space="preserve">La demo, en aquesta microlliçó,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 punt és especialment rellevant en docència. Permet fer proves sense dependre d’internet,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bookmarkEnd w:id="22"/>
    <w:bookmarkStart w:id="23" w:name="diapositiva-13.-agraïment---100"/>
    <w:p>
      <w:pPr>
        <w:pStyle w:val="Heading3"/>
      </w:pPr>
      <w:r>
        <w:t xml:space="preserve">Diapositiva 13. Agraïment - 1:00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acabar expressant el meu agraïment al TecnoCampus per l’oportunitat d’aprendre, créixer com a docent i transferir coneixement entre la universitat i l’entorn professional. I també el meu agraïment especial al Dr. Josep Roure, amb qui comparteixo aquesta assignatura i de qui he après molt sobre arquitectura de programari i metodologies actives d’aprenentatge. [mirada al tribunal]</w:t>
      </w:r>
    </w:p>
    <w:p>
      <w:pPr>
        <w:pStyle w:val="BodyText"/>
      </w:pPr>
      <w:r>
        <w:t xml:space="preserve">Moltes gràcies.</w:t>
      </w:r>
    </w:p>
    <w:bookmarkEnd w:id="23"/>
    <w:bookmarkEnd w:id="24"/>
    <w:bookmarkStart w:id="38" w:name="notes-del-presentador-per-diapositiva"/>
    <w:p>
      <w:pPr>
        <w:pStyle w:val="Heading2"/>
      </w:pPr>
      <w:r>
        <w:t xml:space="preserve">4. Notes del presentador per diapositiva</w:t>
      </w:r>
    </w:p>
    <w:bookmarkStart w:id="25" w:name="portada---145"/>
    <w:p>
      <w:pPr>
        <w:pStyle w:val="Heading3"/>
      </w:pPr>
      <w:r>
        <w:t xml:space="preserve">1. Portada - 1:45</w:t>
      </w:r>
    </w:p>
    <w:p>
      <w:pPr>
        <w:pStyle w:val="Compact"/>
        <w:numPr>
          <w:ilvl w:val="0"/>
          <w:numId w:val="1003"/>
        </w:numPr>
      </w:pPr>
      <w:r>
        <w:t xml:space="preserve">Microlliçó de DSI, no explicació completa d’arquitectura hexagonal.</w:t>
      </w:r>
    </w:p>
    <w:p>
      <w:pPr>
        <w:pStyle w:val="Compact"/>
        <w:numPr>
          <w:ilvl w:val="0"/>
          <w:numId w:val="1003"/>
        </w:numPr>
      </w:pPr>
      <w:r>
        <w:t xml:space="preserve">Informe AGAUR incorporat al tribunal: activitat real de 60 hores, maig-juliol 2025.</w:t>
      </w:r>
    </w:p>
    <w:p>
      <w:pPr>
        <w:pStyle w:val="Compact"/>
        <w:numPr>
          <w:ilvl w:val="0"/>
          <w:numId w:val="1003"/>
        </w:numPr>
      </w:pPr>
      <w:r>
        <w:t xml:space="preserve">Connexió: docència amb Dr. Josep Roure + consultoria en sistemes d’informació.</w:t>
      </w:r>
    </w:p>
    <w:p>
      <w:pPr>
        <w:pStyle w:val="Compact"/>
        <w:numPr>
          <w:ilvl w:val="0"/>
          <w:numId w:val="1003"/>
        </w:numPr>
      </w:pPr>
      <w:r>
        <w:t xml:space="preserve">No revelar dades internes; cas real com a base docent.</w:t>
      </w:r>
    </w:p>
    <w:p>
      <w:pPr>
        <w:pStyle w:val="Compact"/>
        <w:numPr>
          <w:ilvl w:val="0"/>
          <w:numId w:val="1003"/>
        </w:numPr>
      </w:pPr>
      <w:r>
        <w:t xml:space="preserve">Transició: ens centrarem en una decisió concreta, el port de sortida.</w:t>
      </w:r>
    </w:p>
    <w:bookmarkEnd w:id="25"/>
    <w:bookmarkStart w:id="26" w:name="on-som-dins-lassignatura---115"/>
    <w:p>
      <w:pPr>
        <w:pStyle w:val="Heading3"/>
      </w:pPr>
      <w:r>
        <w:t xml:space="preserve">2. On som dins l’assignatura - 1:15</w:t>
      </w:r>
    </w:p>
    <w:p>
      <w:pPr>
        <w:pStyle w:val="Compact"/>
        <w:numPr>
          <w:ilvl w:val="0"/>
          <w:numId w:val="1004"/>
        </w:numPr>
      </w:pPr>
      <w:r>
        <w:t xml:space="preserve">Pla docent: 3r curs, 6 ECTS, assignatura obligatòria.</w:t>
      </w:r>
    </w:p>
    <w:p>
      <w:pPr>
        <w:pStyle w:val="Compact"/>
        <w:numPr>
          <w:ilvl w:val="0"/>
          <w:numId w:val="1004"/>
        </w:numPr>
      </w:pPr>
      <w:r>
        <w:t xml:space="preserve">Bloc: clean/hexagonal, ports i adaptadors, mapping, mòduls, DDD.</w:t>
      </w:r>
    </w:p>
    <w:p>
      <w:pPr>
        <w:pStyle w:val="Compact"/>
        <w:numPr>
          <w:ilvl w:val="0"/>
          <w:numId w:val="1004"/>
        </w:numPr>
      </w:pPr>
      <w:r>
        <w:t xml:space="preserve">Justificar que la sessió encaixa en el temari.</w:t>
      </w:r>
    </w:p>
    <w:p>
      <w:pPr>
        <w:pStyle w:val="Compact"/>
        <w:numPr>
          <w:ilvl w:val="0"/>
          <w:numId w:val="1004"/>
        </w:numPr>
      </w:pPr>
      <w:r>
        <w:t xml:space="preserve">No panoràmica completa; focus en APIs externes desacoblades.</w:t>
      </w:r>
    </w:p>
    <w:p>
      <w:pPr>
        <w:pStyle w:val="Compact"/>
        <w:numPr>
          <w:ilvl w:val="0"/>
          <w:numId w:val="1004"/>
        </w:numPr>
      </w:pPr>
      <w:r>
        <w:t xml:space="preserve">Transició: formular l’objectiu d’aprenentatge.</w:t>
      </w:r>
    </w:p>
    <w:bookmarkEnd w:id="26"/>
    <w:bookmarkStart w:id="27" w:name="objectiu-daprenentatge---110"/>
    <w:p>
      <w:pPr>
        <w:pStyle w:val="Heading3"/>
      </w:pPr>
      <w:r>
        <w:t xml:space="preserve">3. Objectiu d’aprenentatge - 1:10</w:t>
      </w:r>
    </w:p>
    <w:p>
      <w:pPr>
        <w:pStyle w:val="Compact"/>
        <w:numPr>
          <w:ilvl w:val="0"/>
          <w:numId w:val="1005"/>
        </w:numPr>
      </w:pPr>
      <w:r>
        <w:t xml:space="preserve">Frase clau: capacitat, no tecnologia.</w:t>
      </w:r>
    </w:p>
    <w:p>
      <w:pPr>
        <w:pStyle w:val="Compact"/>
        <w:numPr>
          <w:ilvl w:val="0"/>
          <w:numId w:val="1005"/>
        </w:numPr>
      </w:pPr>
      <w:r>
        <w:t xml:space="preserve">Canviar la pregunta: no</w:t>
      </w:r>
      <w:r>
        <w:t xml:space="preserve"> </w:t>
      </w:r>
      <w:r>
        <w:rPr>
          <w:rStyle w:val="VerbatimChar"/>
        </w:rPr>
        <w:t xml:space="preserve">quina API?</w:t>
      </w:r>
      <w:r>
        <w:t xml:space="preserve">, sinó</w:t>
      </w:r>
      <w:r>
        <w:t xml:space="preserve"> </w:t>
      </w:r>
      <w:r>
        <w:rPr>
          <w:rStyle w:val="VerbatimChar"/>
        </w:rPr>
        <w:t xml:space="preserve">quina necessitat?</w:t>
      </w:r>
      <w:r>
        <w:t xml:space="preserve">.</w:t>
      </w:r>
    </w:p>
    <w:p>
      <w:pPr>
        <w:pStyle w:val="Compact"/>
        <w:numPr>
          <w:ilvl w:val="0"/>
          <w:numId w:val="1005"/>
        </w:numPr>
      </w:pPr>
      <w:r>
        <w:t xml:space="preserve">El nucli parla llenguatge del problema.</w:t>
      </w:r>
    </w:p>
    <w:p>
      <w:pPr>
        <w:pStyle w:val="Compact"/>
        <w:numPr>
          <w:ilvl w:val="0"/>
          <w:numId w:val="1005"/>
        </w:numPr>
      </w:pPr>
      <w:r>
        <w:t xml:space="preserve">Dependències cap al nucli, no cap a la infraestructura.</w:t>
      </w:r>
    </w:p>
    <w:p>
      <w:pPr>
        <w:pStyle w:val="Compact"/>
        <w:numPr>
          <w:ilvl w:val="0"/>
          <w:numId w:val="1005"/>
        </w:numPr>
      </w:pPr>
      <w:r>
        <w:t xml:space="preserve">Transició: convertir el principi en accions observables.</w:t>
      </w:r>
    </w:p>
    <w:bookmarkEnd w:id="27"/>
    <w:bookmarkStart w:id="28" w:name="objectiu-ii---050"/>
    <w:p>
      <w:pPr>
        <w:pStyle w:val="Heading3"/>
      </w:pPr>
      <w:r>
        <w:t xml:space="preserve">4. Objectiu II - 0:50</w:t>
      </w:r>
    </w:p>
    <w:p>
      <w:pPr>
        <w:pStyle w:val="Compact"/>
        <w:numPr>
          <w:ilvl w:val="0"/>
          <w:numId w:val="1006"/>
        </w:numPr>
      </w:pPr>
      <w:r>
        <w:t xml:space="preserve">Identificar necessitat.</w:t>
      </w:r>
    </w:p>
    <w:p>
      <w:pPr>
        <w:pStyle w:val="Compact"/>
        <w:numPr>
          <w:ilvl w:val="0"/>
          <w:numId w:val="1006"/>
        </w:numPr>
      </w:pPr>
      <w:r>
        <w:t xml:space="preserve">Definir port.</w:t>
      </w:r>
    </w:p>
    <w:p>
      <w:pPr>
        <w:pStyle w:val="Compact"/>
        <w:numPr>
          <w:ilvl w:val="0"/>
          <w:numId w:val="1006"/>
        </w:numPr>
      </w:pPr>
      <w:r>
        <w:t xml:space="preserve">Implementar adaptadors.</w:t>
      </w:r>
    </w:p>
    <w:p>
      <w:pPr>
        <w:pStyle w:val="Compact"/>
        <w:numPr>
          <w:ilvl w:val="0"/>
          <w:numId w:val="1006"/>
        </w:numPr>
      </w:pPr>
      <w:r>
        <w:t xml:space="preserve">L’estudiant ha de detectar acoblament i proposar frontera.</w:t>
      </w:r>
    </w:p>
    <w:p>
      <w:pPr>
        <w:pStyle w:val="Compact"/>
        <w:numPr>
          <w:ilvl w:val="0"/>
          <w:numId w:val="1006"/>
        </w:numPr>
      </w:pPr>
      <w:r>
        <w:t xml:space="preserve">Transició: aplicar-ho a un cas funcional.</w:t>
      </w:r>
    </w:p>
    <w:bookmarkEnd w:id="28"/>
    <w:bookmarkStart w:id="29" w:name="avaluació-econòmica---145"/>
    <w:p>
      <w:pPr>
        <w:pStyle w:val="Heading3"/>
      </w:pPr>
      <w:r>
        <w:t xml:space="preserve">5. Avaluació econòmica - 1:45</w:t>
      </w:r>
    </w:p>
    <w:p>
      <w:pPr>
        <w:pStyle w:val="Compact"/>
        <w:numPr>
          <w:ilvl w:val="0"/>
          <w:numId w:val="1007"/>
        </w:numPr>
      </w:pPr>
      <w:r>
        <w:t xml:space="preserve">Primer entendre procediment, després tecnologia.</w:t>
      </w:r>
    </w:p>
    <w:p>
      <w:pPr>
        <w:pStyle w:val="Compact"/>
        <w:numPr>
          <w:ilvl w:val="0"/>
          <w:numId w:val="1007"/>
        </w:numPr>
      </w:pPr>
      <w:r>
        <w:t xml:space="preserve">Sol·licitud, expedient, requisits generals, econòmics, revisió, resolució.</w:t>
      </w:r>
    </w:p>
    <w:p>
      <w:pPr>
        <w:pStyle w:val="Compact"/>
        <w:numPr>
          <w:ilvl w:val="0"/>
          <w:numId w:val="1007"/>
        </w:numPr>
      </w:pPr>
      <w:r>
        <w:t xml:space="preserve">Renda i patrimoni com a decisió funcional.</w:t>
      </w:r>
    </w:p>
    <w:p>
      <w:pPr>
        <w:pStyle w:val="Compact"/>
        <w:numPr>
          <w:ilvl w:val="0"/>
          <w:numId w:val="1007"/>
        </w:numPr>
      </w:pPr>
      <w:r>
        <w:t xml:space="preserve">Evitar començar per SOAP/REST/PICA.</w:t>
      </w:r>
    </w:p>
    <w:p>
      <w:pPr>
        <w:pStyle w:val="Compact"/>
        <w:numPr>
          <w:ilvl w:val="0"/>
          <w:numId w:val="1007"/>
        </w:numPr>
      </w:pPr>
      <w:r>
        <w:t xml:space="preserve">Transició: quines dades externes fan falta?</w:t>
      </w:r>
    </w:p>
    <w:bookmarkEnd w:id="29"/>
    <w:bookmarkStart w:id="30" w:name="informació-externa---155"/>
    <w:p>
      <w:pPr>
        <w:pStyle w:val="Heading3"/>
      </w:pPr>
      <w:r>
        <w:t xml:space="preserve">6. Informació externa - 1:55</w:t>
      </w:r>
    </w:p>
    <w:p>
      <w:pPr>
        <w:pStyle w:val="Compact"/>
        <w:numPr>
          <w:ilvl w:val="0"/>
          <w:numId w:val="1008"/>
        </w:numPr>
      </w:pPr>
      <w:r>
        <w:t xml:space="preserve">Necessitats: renda, patrimoni, béns immobles.</w:t>
      </w:r>
    </w:p>
    <w:p>
      <w:pPr>
        <w:pStyle w:val="Compact"/>
        <w:numPr>
          <w:ilvl w:val="0"/>
          <w:numId w:val="1008"/>
        </w:numPr>
      </w:pPr>
      <w:r>
        <w:t xml:space="preserve">Fonts: AEAT, Cadastre, PICA.</w:t>
      </w:r>
    </w:p>
    <w:p>
      <w:pPr>
        <w:pStyle w:val="Compact"/>
        <w:numPr>
          <w:ilvl w:val="0"/>
          <w:numId w:val="1008"/>
        </w:numPr>
      </w:pPr>
      <w:r>
        <w:t xml:space="preserve">PICA com a interoperabilitat administrativa.</w:t>
      </w:r>
    </w:p>
    <w:p>
      <w:pPr>
        <w:pStyle w:val="Compact"/>
        <w:numPr>
          <w:ilvl w:val="0"/>
          <w:numId w:val="1008"/>
        </w:numPr>
      </w:pPr>
      <w:r>
        <w:t xml:space="preserve">Frase clau: informació administrativa, no API concreta.</w:t>
      </w:r>
    </w:p>
    <w:p>
      <w:pPr>
        <w:pStyle w:val="Compact"/>
        <w:numPr>
          <w:ilvl w:val="0"/>
          <w:numId w:val="1008"/>
        </w:numPr>
      </w:pPr>
      <w:r>
        <w:t xml:space="preserve">Transició: si no separem, apareix dependència directa.</w:t>
      </w:r>
    </w:p>
    <w:bookmarkEnd w:id="30"/>
    <w:bookmarkStart w:id="31" w:name="dependència-directa---200"/>
    <w:p>
      <w:pPr>
        <w:pStyle w:val="Heading3"/>
      </w:pPr>
      <w:r>
        <w:t xml:space="preserve">7. Dependència directa - 2:00</w:t>
      </w:r>
    </w:p>
    <w:p>
      <w:pPr>
        <w:pStyle w:val="Compact"/>
        <w:numPr>
          <w:ilvl w:val="0"/>
          <w:numId w:val="1009"/>
        </w:numPr>
      </w:pPr>
      <w:r>
        <w:t xml:space="preserve">El problema no és PICA; es l’acoblament directe.</w:t>
      </w:r>
    </w:p>
    <w:p>
      <w:pPr>
        <w:pStyle w:val="Compact"/>
        <w:numPr>
          <w:ilvl w:val="0"/>
          <w:numId w:val="1009"/>
        </w:numPr>
      </w:pPr>
      <w:r>
        <w:t xml:space="preserve">Cas d’ús coneix SOAP/XML, DTOs, clients, errors tècnics.</w:t>
      </w:r>
    </w:p>
    <w:p>
      <w:pPr>
        <w:pStyle w:val="Compact"/>
        <w:numPr>
          <w:ilvl w:val="0"/>
          <w:numId w:val="1009"/>
        </w:numPr>
      </w:pPr>
      <w:r>
        <w:t xml:space="preserve">Evolucio tecnològica travessa frontera.</w:t>
      </w:r>
    </w:p>
    <w:p>
      <w:pPr>
        <w:pStyle w:val="Compact"/>
        <w:numPr>
          <w:ilvl w:val="0"/>
          <w:numId w:val="1009"/>
        </w:numPr>
      </w:pPr>
      <w:r>
        <w:t xml:space="preserve">Tres riscos: acoblament, manteniment fràgil, continuïtat operativa.</w:t>
      </w:r>
    </w:p>
    <w:p>
      <w:pPr>
        <w:pStyle w:val="Compact"/>
        <w:numPr>
          <w:ilvl w:val="0"/>
          <w:numId w:val="1009"/>
        </w:numPr>
      </w:pPr>
      <w:r>
        <w:t xml:space="preserve">Transició: resposta arquitectònica, port de sortida.</w:t>
      </w:r>
    </w:p>
    <w:bookmarkEnd w:id="31"/>
    <w:bookmarkStart w:id="32" w:name="port-i-adaptador---125"/>
    <w:p>
      <w:pPr>
        <w:pStyle w:val="Heading3"/>
      </w:pPr>
      <w:r>
        <w:t xml:space="preserve">8. Port i adaptador - 1:25</w:t>
      </w:r>
    </w:p>
    <w:p>
      <w:pPr>
        <w:pStyle w:val="Compact"/>
        <w:numPr>
          <w:ilvl w:val="0"/>
          <w:numId w:val="1010"/>
        </w:numPr>
      </w:pPr>
      <w:r>
        <w:t xml:space="preserve">Port = què necessita l’aplicació.</w:t>
      </w:r>
    </w:p>
    <w:p>
      <w:pPr>
        <w:pStyle w:val="Compact"/>
        <w:numPr>
          <w:ilvl w:val="0"/>
          <w:numId w:val="1010"/>
        </w:numPr>
      </w:pPr>
      <w:r>
        <w:t xml:space="preserve">Adaptador = com s’integra tècnicament.</w:t>
      </w:r>
    </w:p>
    <w:p>
      <w:pPr>
        <w:pStyle w:val="Compact"/>
        <w:numPr>
          <w:ilvl w:val="0"/>
          <w:numId w:val="1010"/>
        </w:numPr>
      </w:pPr>
      <w:r>
        <w:t xml:space="preserve">Distingir flux d’execució i dependència de codi.</w:t>
      </w:r>
    </w:p>
    <w:p>
      <w:pPr>
        <w:pStyle w:val="Compact"/>
        <w:numPr>
          <w:ilvl w:val="0"/>
          <w:numId w:val="1010"/>
        </w:numPr>
      </w:pPr>
      <w:r>
        <w:t xml:space="preserve">Inversió: adaptador implementa port; nucli no depèn d’adaptador.</w:t>
      </w:r>
    </w:p>
    <w:p>
      <w:pPr>
        <w:pStyle w:val="Compact"/>
        <w:numPr>
          <w:ilvl w:val="0"/>
          <w:numId w:val="1010"/>
        </w:numPr>
      </w:pPr>
      <w:r>
        <w:t xml:space="preserve">Transició: aplicar-ho al cas patrimonial.</w:t>
      </w:r>
    </w:p>
    <w:bookmarkEnd w:id="32"/>
    <w:bookmarkStart w:id="33" w:name="port-patrimonial---155"/>
    <w:p>
      <w:pPr>
        <w:pStyle w:val="Heading3"/>
      </w:pPr>
      <w:r>
        <w:t xml:space="preserve">9. Port patrimonial - 1:55</w:t>
      </w:r>
    </w:p>
    <w:p>
      <w:pPr>
        <w:pStyle w:val="Compact"/>
        <w:numPr>
          <w:ilvl w:val="0"/>
          <w:numId w:val="1011"/>
        </w:numPr>
      </w:pPr>
      <w:r>
        <w:t xml:space="preserve">Servei d’aplicació depèn de contractes propis.</w:t>
      </w:r>
    </w:p>
    <w:p>
      <w:pPr>
        <w:pStyle w:val="Compact"/>
        <w:numPr>
          <w:ilvl w:val="0"/>
          <w:numId w:val="1011"/>
        </w:numPr>
      </w:pPr>
      <w:r>
        <w:t xml:space="preserve">Adaptadors fora del nucli.</w:t>
      </w:r>
    </w:p>
    <w:p>
      <w:pPr>
        <w:pStyle w:val="Compact"/>
        <w:numPr>
          <w:ilvl w:val="0"/>
          <w:numId w:val="1011"/>
        </w:numPr>
      </w:pPr>
      <w:r>
        <w:t xml:space="preserve">PICA/JDBC/SOAP/REST són detalls substituïbles.</w:t>
      </w:r>
    </w:p>
    <w:p>
      <w:pPr>
        <w:pStyle w:val="Compact"/>
        <w:numPr>
          <w:ilvl w:val="0"/>
          <w:numId w:val="1011"/>
        </w:numPr>
      </w:pPr>
      <w:r>
        <w:t xml:space="preserve">Fletxa correcta d’implementació: adaptador -&gt; port.</w:t>
      </w:r>
    </w:p>
    <w:p>
      <w:pPr>
        <w:pStyle w:val="Compact"/>
        <w:numPr>
          <w:ilvl w:val="0"/>
          <w:numId w:val="1011"/>
        </w:numPr>
      </w:pPr>
      <w:r>
        <w:t xml:space="preserve">Transició: mateix patró en HexaStock.</w:t>
      </w:r>
    </w:p>
    <w:bookmarkEnd w:id="33"/>
    <w:bookmarkStart w:id="34" w:name="hexastock---140"/>
    <w:p>
      <w:pPr>
        <w:pStyle w:val="Heading3"/>
      </w:pPr>
      <w:r>
        <w:t xml:space="preserve">10. HexaStock - 1:40</w:t>
      </w:r>
    </w:p>
    <w:p>
      <w:pPr>
        <w:pStyle w:val="Compact"/>
        <w:numPr>
          <w:ilvl w:val="0"/>
          <w:numId w:val="1012"/>
        </w:numPr>
      </w:pPr>
      <w:r>
        <w:t xml:space="preserve">Domini financer: vendre accions.</w:t>
      </w:r>
    </w:p>
    <w:p>
      <w:pPr>
        <w:pStyle w:val="Compact"/>
        <w:numPr>
          <w:ilvl w:val="0"/>
          <w:numId w:val="1012"/>
        </w:numPr>
      </w:pPr>
      <w:r>
        <w:t xml:space="preserve">Necessitat: preu actual del ticker.</w:t>
      </w:r>
    </w:p>
    <w:p>
      <w:pPr>
        <w:pStyle w:val="Compact"/>
        <w:numPr>
          <w:ilvl w:val="0"/>
          <w:numId w:val="1012"/>
        </w:numPr>
      </w:pPr>
      <w:r>
        <w:t xml:space="preserve">Port:</w:t>
      </w:r>
      <w:r>
        <w:t xml:space="preserve"> </w:t>
      </w:r>
      <w:r>
        <w:rPr>
          <w:rStyle w:val="VerbatimChar"/>
        </w:rPr>
        <w:t xml:space="preserve">StockPriceProviderPort</w:t>
      </w:r>
      <w:r>
        <w:t xml:space="preserve">.</w:t>
      </w:r>
    </w:p>
    <w:p>
      <w:pPr>
        <w:pStyle w:val="Compact"/>
        <w:numPr>
          <w:ilvl w:val="0"/>
          <w:numId w:val="1012"/>
        </w:numPr>
      </w:pPr>
      <w:r>
        <w:t xml:space="preserve">Adaptadors: Finnhub, Alpha Vantage, mock.</w:t>
      </w:r>
    </w:p>
    <w:p>
      <w:pPr>
        <w:pStyle w:val="Compact"/>
        <w:numPr>
          <w:ilvl w:val="0"/>
          <w:numId w:val="1012"/>
        </w:numPr>
      </w:pPr>
      <w:r>
        <w:t xml:space="preserve">Transició: veure el flux i el codi essencial.</w:t>
      </w:r>
    </w:p>
    <w:bookmarkEnd w:id="34"/>
    <w:bookmarkStart w:id="35" w:name="flux-i-codi---140"/>
    <w:p>
      <w:pPr>
        <w:pStyle w:val="Heading3"/>
      </w:pPr>
      <w:r>
        <w:t xml:space="preserve">11. Flux i codi - 1:40</w:t>
      </w:r>
    </w:p>
    <w:p>
      <w:pPr>
        <w:pStyle w:val="Compact"/>
        <w:numPr>
          <w:ilvl w:val="0"/>
          <w:numId w:val="1013"/>
        </w:numPr>
      </w:pPr>
      <w:r>
        <w:t xml:space="preserve">Diagrama de seqüència = flux temporal, no dependència de codi.</w:t>
      </w:r>
    </w:p>
    <w:p>
      <w:pPr>
        <w:pStyle w:val="Compact"/>
        <w:numPr>
          <w:ilvl w:val="0"/>
          <w:numId w:val="1013"/>
        </w:numPr>
      </w:pPr>
      <w:r>
        <w:t xml:space="preserve">Controller -&gt; port d’entrada -&gt; servei.</w:t>
      </w:r>
    </w:p>
    <w:p>
      <w:pPr>
        <w:pStyle w:val="Compact"/>
        <w:numPr>
          <w:ilvl w:val="0"/>
          <w:numId w:val="1013"/>
        </w:numPr>
      </w:pPr>
      <w:r>
        <w:t xml:space="preserve">Servei consulta ports i delega venda al domini.</w:t>
      </w:r>
    </w:p>
    <w:p>
      <w:pPr>
        <w:pStyle w:val="Compact"/>
        <w:numPr>
          <w:ilvl w:val="0"/>
          <w:numId w:val="1013"/>
        </w:numPr>
      </w:pPr>
      <w:r>
        <w:t xml:space="preserve">Domini decideix; adaptador integra.</w:t>
      </w:r>
    </w:p>
    <w:p>
      <w:pPr>
        <w:pStyle w:val="Compact"/>
        <w:numPr>
          <w:ilvl w:val="0"/>
          <w:numId w:val="1013"/>
        </w:numPr>
      </w:pPr>
      <w:r>
        <w:t xml:space="preserve">Transició: demo controlada amb adaptador substituïble.</w:t>
      </w:r>
    </w:p>
    <w:bookmarkEnd w:id="35"/>
    <w:bookmarkStart w:id="36" w:name="demo---140"/>
    <w:p>
      <w:pPr>
        <w:pStyle w:val="Heading3"/>
      </w:pPr>
      <w:r>
        <w:t xml:space="preserve">12. Demo - 1:40</w:t>
      </w:r>
    </w:p>
    <w:p>
      <w:pPr>
        <w:pStyle w:val="Compact"/>
        <w:numPr>
          <w:ilvl w:val="0"/>
          <w:numId w:val="1014"/>
        </w:numPr>
      </w:pPr>
      <w:r>
        <w:t xml:space="preserve">Mateix cas d’ús, servei i domini.</w:t>
      </w:r>
    </w:p>
    <w:p>
      <w:pPr>
        <w:pStyle w:val="Compact"/>
        <w:numPr>
          <w:ilvl w:val="0"/>
          <w:numId w:val="1014"/>
        </w:numPr>
      </w:pPr>
      <w:r>
        <w:t xml:space="preserve">Canvia l’adaptador.</w:t>
      </w:r>
    </w:p>
    <w:p>
      <w:pPr>
        <w:pStyle w:val="Compact"/>
        <w:numPr>
          <w:ilvl w:val="0"/>
          <w:numId w:val="1014"/>
        </w:numPr>
      </w:pPr>
      <w:r>
        <w:t xml:space="preserve">Perfils: Finnhub, Alpha Vantage, mock.</w:t>
      </w:r>
    </w:p>
    <w:p>
      <w:pPr>
        <w:pStyle w:val="Compact"/>
        <w:numPr>
          <w:ilvl w:val="0"/>
          <w:numId w:val="1014"/>
        </w:numPr>
      </w:pPr>
      <w:r>
        <w:t xml:space="preserve">Utilitat docent: proves sense internet ni claus.</w:t>
      </w:r>
    </w:p>
    <w:p>
      <w:pPr>
        <w:pStyle w:val="Compact"/>
        <w:numPr>
          <w:ilvl w:val="0"/>
          <w:numId w:val="1014"/>
        </w:numPr>
      </w:pPr>
      <w:r>
        <w:t xml:space="preserve">Transició: conclusió final.</w:t>
      </w:r>
    </w:p>
    <w:bookmarkEnd w:id="36"/>
    <w:bookmarkStart w:id="37" w:name="agraïment---100"/>
    <w:p>
      <w:pPr>
        <w:pStyle w:val="Heading3"/>
      </w:pPr>
      <w:r>
        <w:t xml:space="preserve">13. Agraïment - 1:00</w:t>
      </w:r>
    </w:p>
    <w:p>
      <w:pPr>
        <w:pStyle w:val="Compact"/>
        <w:numPr>
          <w:ilvl w:val="0"/>
          <w:numId w:val="1015"/>
        </w:numPr>
      </w:pPr>
      <w:r>
        <w:t xml:space="preserve">Arquitectura no elimina canvi; el localitza.</w:t>
      </w:r>
    </w:p>
    <w:p>
      <w:pPr>
        <w:pStyle w:val="Compact"/>
        <w:numPr>
          <w:ilvl w:val="0"/>
          <w:numId w:val="1015"/>
        </w:numPr>
      </w:pPr>
      <w:r>
        <w:t xml:space="preserve">Canviar adaptador, no cas d’ús ni domini.</w:t>
      </w:r>
    </w:p>
    <w:p>
      <w:pPr>
        <w:pStyle w:val="Compact"/>
        <w:numPr>
          <w:ilvl w:val="0"/>
          <w:numId w:val="1015"/>
        </w:numPr>
      </w:pPr>
      <w:r>
        <w:t xml:space="preserve">Agraïment TecnoCampus.</w:t>
      </w:r>
    </w:p>
    <w:p>
      <w:pPr>
        <w:pStyle w:val="Compact"/>
        <w:numPr>
          <w:ilvl w:val="0"/>
          <w:numId w:val="1015"/>
        </w:numPr>
      </w:pPr>
      <w:r>
        <w:t xml:space="preserve">Agraïment Dr. Josep Roure.</w:t>
      </w:r>
    </w:p>
    <w:p>
      <w:pPr>
        <w:pStyle w:val="Compact"/>
        <w:numPr>
          <w:ilvl w:val="0"/>
          <w:numId w:val="1015"/>
        </w:numPr>
      </w:pPr>
      <w:r>
        <w:t xml:space="preserve">Tancar mirant el tribunal:</w:t>
      </w:r>
      <w:r>
        <w:t xml:space="preserve"> </w:t>
      </w:r>
      <w:r>
        <w:rPr>
          <w:rStyle w:val="VerbatimChar"/>
        </w:rPr>
        <w:t xml:space="preserve">Moltes gràcies</w:t>
      </w:r>
      <w:r>
        <w:t xml:space="preserve">.</w:t>
      </w:r>
    </w:p>
    <w:bookmarkEnd w:id="37"/>
    <w:bookmarkEnd w:id="38"/>
    <w:bookmarkStart w:id="39" w:name="esquema-de-memorització"/>
    <w:p>
      <w:pPr>
        <w:pStyle w:val="Heading2"/>
      </w:pPr>
      <w:r>
        <w:t xml:space="preserve">5. Esquema de memorització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microlliçó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d’aprenentatge</w:t>
            </w:r>
          </w:p>
        </w:tc>
      </w:tr>
      <w:tr>
        <w:tc>
          <w:tcPr/>
          <w:p>
            <w:pPr>
              <w:pStyle w:val="Compact"/>
            </w:pPr>
            <w:r>
              <w:t xml:space="preserve">3</w:t>
            </w:r>
          </w:p>
        </w:tc>
        <w:tc>
          <w:tcPr/>
          <w:p>
            <w:pPr>
              <w:pStyle w:val="Compact"/>
            </w:pPr>
            <w:r>
              <w:t xml:space="preserve">Capacitat, no tecnologia</w:t>
            </w:r>
          </w:p>
        </w:tc>
        <w:tc>
          <w:tcPr/>
          <w:p>
            <w:pPr>
              <w:pStyle w:val="Compact"/>
            </w:pPr>
            <w:r>
              <w:t xml:space="preserve">Dependències cap al nucli</w:t>
            </w:r>
          </w:p>
        </w:tc>
        <w:tc>
          <w:tcPr/>
          <w:p>
            <w:pPr>
              <w:pStyle w:val="Compact"/>
            </w:pPr>
            <w:r>
              <w:t xml:space="preserve">Assignatura</w:t>
            </w:r>
          </w:p>
        </w:tc>
        <w:tc>
          <w:tcPr/>
          <w:p>
            <w:pPr>
              <w:pStyle w:val="Compact"/>
            </w:pPr>
            <w:r>
              <w:t xml:space="preserve">Accions observables</w:t>
            </w:r>
          </w:p>
        </w:tc>
      </w:tr>
      <w:tr>
        <w:tc>
          <w:tcPr/>
          <w:p>
            <w:pPr>
              <w:pStyle w:val="Compact"/>
            </w:pPr>
            <w:r>
              <w:t xml:space="preserve">4</w:t>
            </w:r>
          </w:p>
        </w:tc>
        <w:tc>
          <w:tcPr/>
          <w:p>
            <w:pPr>
              <w:pStyle w:val="Compact"/>
            </w:pPr>
            <w:r>
              <w:t xml:space="preserve">Identificar, definir, implementar</w:t>
            </w:r>
          </w:p>
        </w:tc>
        <w:tc>
          <w:tcPr/>
          <w:p>
            <w:pPr>
              <w:pStyle w:val="Compact"/>
            </w:pPr>
            <w:r>
              <w:t xml:space="preserve">Port com a contracte</w:t>
            </w:r>
          </w:p>
        </w:tc>
        <w:tc>
          <w:tcPr/>
          <w:p>
            <w:pPr>
              <w:pStyle w:val="Compact"/>
            </w:pPr>
            <w:r>
              <w:t xml:space="preserve">Principi</w:t>
            </w:r>
          </w:p>
        </w:tc>
        <w:tc>
          <w:tcPr/>
          <w:p>
            <w:pPr>
              <w:pStyle w:val="Compact"/>
            </w:pPr>
            <w:r>
              <w:t xml:space="preserve">Cas funcional</w:t>
            </w:r>
          </w:p>
        </w:tc>
      </w:tr>
      <w:tr>
        <w:tc>
          <w:tcPr/>
          <w:p>
            <w:pPr>
              <w:pStyle w:val="Compact"/>
            </w:pPr>
            <w:r>
              <w:t xml:space="preserve">5</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6</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7</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8</w:t>
            </w:r>
          </w:p>
        </w:tc>
        <w:tc>
          <w:tcPr/>
          <w:p>
            <w:pPr>
              <w:pStyle w:val="Compact"/>
            </w:pPr>
            <w:r>
              <w:t xml:space="preserve">Port diu què; adaptador diu com</w:t>
            </w:r>
          </w:p>
        </w:tc>
        <w:tc>
          <w:tcPr/>
          <w:p>
            <w:pPr>
              <w:pStyle w:val="Compact"/>
            </w:pPr>
            <w:r>
              <w:t xml:space="preserve">Inversió de dependències</w:t>
            </w:r>
          </w:p>
        </w:tc>
        <w:tc>
          <w:tcPr/>
          <w:p>
            <w:pPr>
              <w:pStyle w:val="Compact"/>
            </w:pPr>
            <w:r>
              <w:t xml:space="preserve">Problema</w:t>
            </w:r>
          </w:p>
        </w:tc>
        <w:tc>
          <w:tcPr/>
          <w:p>
            <w:pPr>
              <w:pStyle w:val="Compact"/>
            </w:pPr>
            <w:r>
              <w:t xml:space="preserve">Aplicació al cas patrimonial</w:t>
            </w:r>
          </w:p>
        </w:tc>
      </w:tr>
      <w:tr>
        <w:tc>
          <w:tcPr/>
          <w:p>
            <w:pPr>
              <w:pStyle w:val="Compact"/>
            </w:pPr>
            <w:r>
              <w:t xml:space="preserve">9</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 HexaStock</w:t>
            </w:r>
          </w:p>
        </w:tc>
      </w:tr>
      <w:tr>
        <w:tc>
          <w:tcPr/>
          <w:p>
            <w:pPr>
              <w:pStyle w:val="Compact"/>
            </w:pPr>
            <w:r>
              <w:t xml:space="preserve">10</w:t>
            </w:r>
          </w:p>
        </w:tc>
        <w:tc>
          <w:tcPr/>
          <w:p>
            <w:pPr>
              <w:pStyle w:val="Compact"/>
            </w:pPr>
            <w:r>
              <w:t xml:space="preserve">Mateix patró en domini financer</w:t>
            </w:r>
          </w:p>
        </w:tc>
        <w:tc>
          <w:tcPr/>
          <w:p>
            <w:pPr>
              <w:pStyle w:val="Compact"/>
            </w:pPr>
            <w:r>
              <w:rPr>
                <w:rStyle w:val="VerbatimChar"/>
              </w:rPr>
              <w:t xml:space="preserve">StockPriceProviderPort</w:t>
            </w:r>
          </w:p>
        </w:tc>
        <w:tc>
          <w:tcPr/>
          <w:p>
            <w:pPr>
              <w:pStyle w:val="Compact"/>
            </w:pPr>
            <w:r>
              <w:t xml:space="preserve">Cas AGAUR</w:t>
            </w:r>
          </w:p>
        </w:tc>
        <w:tc>
          <w:tcPr/>
          <w:p>
            <w:pPr>
              <w:pStyle w:val="Compact"/>
            </w:pPr>
            <w:r>
              <w:t xml:space="preserve">Flux temporal</w:t>
            </w:r>
          </w:p>
        </w:tc>
      </w:tr>
      <w:tr>
        <w:tc>
          <w:tcPr/>
          <w:p>
            <w:pPr>
              <w:pStyle w:val="Compact"/>
            </w:pPr>
            <w:r>
              <w:t xml:space="preserve">11</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Diagrama HexaStock</w:t>
            </w:r>
          </w:p>
        </w:tc>
        <w:tc>
          <w:tcPr/>
          <w:p>
            <w:pPr>
              <w:pStyle w:val="Compact"/>
            </w:pPr>
            <w:r>
              <w:t xml:space="preserve">Demo</w:t>
            </w:r>
          </w:p>
        </w:tc>
      </w:tr>
      <w:tr>
        <w:tc>
          <w:tcPr/>
          <w:p>
            <w:pPr>
              <w:pStyle w:val="Compact"/>
            </w:pPr>
            <w:r>
              <w:t xml:space="preserve">12</w:t>
            </w:r>
          </w:p>
        </w:tc>
        <w:tc>
          <w:tcPr/>
          <w:p>
            <w:pPr>
              <w:pStyle w:val="Compact"/>
            </w:pPr>
            <w:r>
              <w:t xml:space="preserve">Canvia infraestructura, no cas d’ús</w:t>
            </w:r>
          </w:p>
        </w:tc>
        <w:tc>
          <w:tcPr/>
          <w:p>
            <w:pPr>
              <w:pStyle w:val="Compact"/>
            </w:pPr>
            <w:r>
              <w:t xml:space="preserve">Adaptador substituïble</w:t>
            </w:r>
          </w:p>
        </w:tc>
        <w:tc>
          <w:tcPr/>
          <w:p>
            <w:pPr>
              <w:pStyle w:val="Compact"/>
            </w:pPr>
            <w:r>
              <w:t xml:space="preserve">Flux</w:t>
            </w:r>
          </w:p>
        </w:tc>
        <w:tc>
          <w:tcPr/>
          <w:p>
            <w:pPr>
              <w:pStyle w:val="Compact"/>
            </w:pPr>
            <w:r>
              <w:t xml:space="preserve">Conclusió</w:t>
            </w:r>
          </w:p>
        </w:tc>
      </w:tr>
      <w:tr>
        <w:tc>
          <w:tcPr/>
          <w:p>
            <w:pPr>
              <w:pStyle w:val="Compact"/>
            </w:pPr>
            <w:r>
              <w:t xml:space="preserve">13</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Demo</w:t>
            </w:r>
          </w:p>
        </w:tc>
        <w:tc>
          <w:tcPr/>
          <w:p>
            <w:pPr>
              <w:pStyle w:val="Compact"/>
            </w:pPr>
            <w:r>
              <w:t xml:space="preserve">Tancament</w:t>
            </w:r>
          </w:p>
        </w:tc>
      </w:tr>
    </w:tbl>
    <w:p>
      <w:pPr>
        <w:pStyle w:val="BodyText"/>
      </w:pPr>
      <w:r>
        <w:t xml:space="preserve">Mantra de memòria:</w:t>
      </w:r>
      <w:r>
        <w:t xml:space="preserve"> </w:t>
      </w:r>
      <w:r>
        <w:rPr>
          <w:rStyle w:val="VerbatimChar"/>
        </w:rPr>
        <w:t xml:space="preserve">cas real -&gt; assignatura -&gt; objectiu -&gt; procediment -&gt; dada externa -&gt; acoblament -&gt; port -&gt; adaptador -&gt; HexaStock -&gt; flux -&gt; demo -&gt; conclusió</w:t>
      </w:r>
      <w:r>
        <w:t xml:space="preserve">.</w:t>
      </w:r>
    </w:p>
    <w:bookmarkEnd w:id="39"/>
    <w:bookmarkStart w:id="40" w:name="pla-dentrenament-comunicatiu"/>
    <w:p>
      <w:pPr>
        <w:pStyle w:val="Heading2"/>
      </w:pPr>
      <w:r>
        <w:t xml:space="preserve">6. Pla d’entrenament comunicatiu</w:t>
      </w:r>
    </w:p>
    <w:p>
      <w:pPr>
        <w:pStyle w:val="FirstParagraph"/>
      </w:pPr>
      <w:r>
        <w:rPr>
          <w:b/>
          <w:bCs/>
        </w:rPr>
        <w:t xml:space="preserve">Entrenament inicial</w:t>
      </w:r>
    </w:p>
    <w:p>
      <w:pPr>
        <w:pStyle w:val="BodyText"/>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BodyText"/>
      </w:pPr>
      <w:r>
        <w:t xml:space="preserve">Després fes una lectura cronometrada. Ritme orientatiu: 125-135 paraules per minut, amb pauses reals. Si surt per sobre de 22 minuts, retalla exemples; si surt per sota de 18:30, no afegeixis contingut tècnic, amplia pauses i transicions.</w:t>
      </w:r>
    </w:p>
    <w:p>
      <w:pPr>
        <w:pStyle w:val="BodyText"/>
      </w:pPr>
      <w:r>
        <w:rPr>
          <w:b/>
          <w:bCs/>
        </w:rPr>
        <w:t xml:space="preserve">Entrenament intermedi</w:t>
      </w:r>
    </w:p>
    <w:p>
      <w:pPr>
        <w:pStyle w:val="BodyText"/>
      </w:pPr>
      <w:r>
        <w:t xml:space="preserve">Practica per blocs, no tota la presentació sempre sencera:</w:t>
      </w:r>
    </w:p>
    <w:p>
      <w:pPr>
        <w:pStyle w:val="Compact"/>
        <w:numPr>
          <w:ilvl w:val="0"/>
          <w:numId w:val="1016"/>
        </w:numPr>
      </w:pPr>
      <w:r>
        <w:t xml:space="preserve">Bloc 1: diapositives 1-4, context i objectiu.</w:t>
      </w:r>
    </w:p>
    <w:p>
      <w:pPr>
        <w:pStyle w:val="Compact"/>
        <w:numPr>
          <w:ilvl w:val="0"/>
          <w:numId w:val="1016"/>
        </w:numPr>
      </w:pPr>
      <w:r>
        <w:t xml:space="preserve">Bloc 2: diapositives 5-9, cas AGAUR i port de sortida.</w:t>
      </w:r>
    </w:p>
    <w:p>
      <w:pPr>
        <w:pStyle w:val="Compact"/>
        <w:numPr>
          <w:ilvl w:val="0"/>
          <w:numId w:val="1016"/>
        </w:numPr>
      </w:pPr>
      <w:r>
        <w:t xml:space="preserve">Bloc 3: diapositives 10-13, HexaStock, demo i tancament.</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p>
      <w:pPr>
        <w:pStyle w:val="BodyText"/>
      </w:pPr>
      <w:r>
        <w:rPr>
          <w:b/>
          <w:bCs/>
        </w:rPr>
        <w:t xml:space="preserve">Assaig final</w:t>
      </w:r>
    </w:p>
    <w:p>
      <w:pPr>
        <w:pStyle w:val="BodyText"/>
      </w:pPr>
      <w:r>
        <w:t xml:space="preserve">Fes com a mínim tres passades completes:</w:t>
      </w:r>
    </w:p>
    <w:p>
      <w:pPr>
        <w:pStyle w:val="Compact"/>
        <w:numPr>
          <w:ilvl w:val="0"/>
          <w:numId w:val="1017"/>
        </w:numPr>
      </w:pPr>
      <w:r>
        <w:t xml:space="preserve">Primera passada: amb guió complet a la mà.</w:t>
      </w:r>
    </w:p>
    <w:p>
      <w:pPr>
        <w:pStyle w:val="Compact"/>
        <w:numPr>
          <w:ilvl w:val="0"/>
          <w:numId w:val="1017"/>
        </w:numPr>
      </w:pPr>
      <w:r>
        <w:t xml:space="preserve">Segona passada: només amb notes del presentador.</w:t>
      </w:r>
    </w:p>
    <w:p>
      <w:pPr>
        <w:pStyle w:val="Compact"/>
        <w:numPr>
          <w:ilvl w:val="0"/>
          <w:numId w:val="1017"/>
        </w:numPr>
      </w:pPr>
      <w:r>
        <w:t xml:space="preserve">Tercera passada: només amb l’esquema de memorització.</w:t>
      </w:r>
    </w:p>
    <w:p>
      <w:pPr>
        <w:pStyle w:val="FirstParagraph"/>
      </w:pPr>
      <w:r>
        <w:t xml:space="preserve">Grava una passada en vídeo. Revisa només quatre indicadors: si mires massa la pantalla, si acceleres a les diapositives 7-11,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rPr>
          <w:b/>
          <w:bCs/>
        </w:rPr>
        <w:t xml:space="preserve">Ritme, veu i cos</w:t>
      </w:r>
    </w:p>
    <w:p>
      <w:pPr>
        <w:pStyle w:val="BodyText"/>
      </w:pPr>
      <w:r>
        <w:t xml:space="preserve">Mantingues un to més lent a les diapositives 3, 7, 8 i 9,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40"/>
    <w:bookmarkStart w:id="41" w:name="advertiments-finals"/>
    <w:p>
      <w:pPr>
        <w:pStyle w:val="Heading2"/>
      </w:pPr>
      <w:r>
        <w:t xml:space="preserve">7. Advertiments finals</w:t>
      </w:r>
    </w:p>
    <w:p>
      <w:pPr>
        <w:pStyle w:val="FirstParagraph"/>
      </w:pPr>
      <w:r>
        <w:t xml:space="preserve">Risc de temps: les diapositives 5-11 poden allargar-se fàcilment. Si vas tard, no retallis la conclusió; retalla detall del cas AGAUR i de la demo.</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fletxes: quan el tribunal vegi fletxes cap a fora, aclareix si representen flux d’execució. Quan parlis d’implementació o dependència de codi, la direcció correcta és adaptador cap al port.</w:t>
      </w:r>
    </w:p>
    <w:p>
      <w:pPr>
        <w:pStyle w:val="BodyText"/>
      </w:pPr>
      <w:r>
        <w:t xml:space="preserve">Risc documental: el pla docent oficial diu que la llengua de docència és l’anglès. Si surt la pregunta, la resposta prudent és que la defensa és en català i que la microlliçó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2026-06-30T18:59:56Z</dcterms:created>
  <dcterms:modified xsi:type="dcterms:W3CDTF">2026-06-30T18:59:56Z</dcterms:modified>
</cp:coreProperties>
</file>

<file path=docProps/custom.xml><?xml version="1.0" encoding="utf-8"?>
<Properties xmlns="http://schemas.openxmlformats.org/officeDocument/2006/custom-properties" xmlns:vt="http://schemas.openxmlformats.org/officeDocument/2006/docPropsVTypes"/>
</file>