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del cos principal: 20:00 aproximadament, sense demo en viu.</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semblava molt enriquidor plantejar aquesta sessió com una trobada entre dues dimensions.</w:t>
      </w:r>
    </w:p>
    <w:p>
      <w:pPr>
        <w:pStyle w:val="Textoindependiente"/>
      </w:pPr>
      <w:r>
        <w:t xml:space="preserve">D’una banda, la dimensió acadèmica: l’assignatura de Disseny de Sistemes d’Informació, on treballem conceptes com arquitectura hexagonal, ports, adaptadors i inversió de dependències.</w:t>
      </w:r>
    </w:p>
    <w:p>
      <w:pPr>
        <w:pStyle w:val="Textoindependiente"/>
      </w:pPr>
      <w:r>
        <w:t xml:space="preserve">I de l’altra, la dimensió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explica que s’hi treballa una visió global d’arquitectures de sistemes d’informació: arquitectures per capes, arquitectures hexagonals i arquitectures basades en microserveis. Dins el bloc d’arquitectures hexagonals hi apareixen explícitament ports i adaptadors. [to calmat, explicatiu]</w:t>
      </w:r>
    </w:p>
    <w:p>
      <w:pPr>
        <w:pStyle w:val="Textoindependiente"/>
      </w:pPr>
      <w:r>
        <w:t xml:space="preserve">Per tant, aquesta no és una sessió afegida artificialment al temari. És una classe versemblant dins l’assignatura. [pausa breu]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[mirar el tribunal]</w:t>
      </w:r>
    </w:p>
    <w:p>
      <w:pPr>
        <w:pStyle w:val="Textoindependiente"/>
      </w:pPr>
      <w:r>
        <w:t xml:space="preserve">Per tant, el que aprendrem és a fer tres operacions: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aefc5253d1fb734b44ed8eafed0859cae3b4679"/>
    <w:p>
      <w:pPr>
        <w:pStyle w:val="Ttulo3"/>
      </w:pPr>
      <w:r>
        <w:t xml:space="preserve">Diapositiva 5.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En termes de fonts administratives, apareixen organismes i plataformes com l’AEAT, el Cadastre i PICA. [assenyalar la columna de fonts]</w:t>
      </w:r>
    </w:p>
    <w:p>
      <w:pPr>
        <w:pStyle w:val="Textoindependiente"/>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avaluable</w:t>
      </w:r>
      <w:r>
        <w:t xml:space="preserve">. Encara no estem decidint si aquesta informació arribarà a través de PICA, d’un servei SOAP, d’una API REST, d’una base de dades corporativa o d’un altre mecanisme futur.</w:t>
      </w:r>
    </w:p>
    <w:p>
      <w:pPr>
        <w:pStyle w:val="Textoindependiente"/>
      </w:pPr>
      <w:r>
        <w:t xml:space="preserve">Quan aquesta separació no es respecta, apareix el problema arquitectònic que veurem ara.</w:t>
      </w:r>
    </w:p>
    <w:bookmarkEnd w:id="13"/>
    <w:bookmarkStart w:id="14" w:name="Xe7b448d2a3a0863eade31fe1550722061691316"/>
    <w:p>
      <w:pPr>
        <w:pStyle w:val="Ttulo3"/>
      </w:pPr>
      <w:r>
        <w:t xml:space="preserve">Diapositiva 6. Dependència directa entre procediment i integració - 2:05</w:t>
      </w:r>
    </w:p>
    <w:p>
      <w:pPr>
        <w:pStyle w:val="FirstParagraph"/>
      </w:pPr>
      <w:r>
        <w:t xml:space="preserve">Imaginem una situació en què el cas d’ús queda vinculat directament a la cadena tècnica: SOAP/XML, PICA, AEAT o Cadastre.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Textoindependiente"/>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En termes de Java, aquest port s’expressa com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Una interfície és una eina d’enginyeria que permet comunicar components sense acoblar-los directament entre ells.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2f5972dd1f8fa5236a8ff5f76fd6d012a2d0ed"/>
    <w:p>
      <w:pPr>
        <w:pStyle w:val="Ttulo3"/>
      </w:pPr>
      <w:r>
        <w:t xml:space="preserve">Diapositiva 8. Port de sortida per a informació patrimonial - 1:55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Textoindependiente"/>
      </w:pPr>
      <w:r>
        <w:t xml:space="preserve">El punt tècnic més important és que l’adaptador de PICA o l’adaptador JDBC no són el centre de l’arquitectura. Són substituïbles. El que és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 un domini diferent: una aplicació de gestió d’una cartera d’inversió personal.</w:t>
      </w:r>
    </w:p>
    <w:bookmarkEnd w:id="16"/>
    <w:bookmarkStart w:id="17" w:name="X78fc559941333af28916ea4cd4e8a03bf048adf"/>
    <w:p>
      <w:pPr>
        <w:pStyle w:val="Ttulo3"/>
      </w:pPr>
      <w:r>
        <w:t xml:space="preserve">Diapositiva 9. Transferència a domini financer - 1:35</w:t>
      </w:r>
    </w:p>
    <w:p>
      <w:pPr>
        <w:pStyle w:val="FirstParagraph"/>
      </w:pPr>
      <w:r>
        <w:t xml:space="preserve">Ara fem un canvi de domini. Ja no parlem d’una sol·licitud de beca, sinó d’una aplicació de gestió d’una cartera d’inversió personal. [assenyalar el títol]</w:t>
      </w:r>
    </w:p>
    <w:p>
      <w:pPr>
        <w:pStyle w:val="Textoindependiente"/>
      </w:pPr>
      <w:r>
        <w:t xml:space="preserve">El diagrama que veiem correspon a HexaStock. Ara, però, no em centraré en els noms concrets; el que m’interessa és reconèixer el mateix patró: cas d’ús, port de sortida i adaptadors substituïbles.</w:t>
      </w:r>
    </w:p>
    <w:p>
      <w:pPr>
        <w:pStyle w:val="Textoindependiente"/>
      </w:pPr>
      <w:r>
        <w:t xml:space="preserve">Imaginem un cas d’ús molt concret: vendre accions d’una cartera. Per executar aquesta operació correctament, l’aplicació pot necessitar consultar el preu actual de l’acció que l’usuari vol vendre.</w:t>
      </w:r>
    </w:p>
    <w:p>
      <w:pPr>
        <w:pStyle w:val="Textoindependiente"/>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Textoindependiente"/>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Textoindependiente"/>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Textoindependiente"/>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Textoindependiente"/>
      </w:pPr>
      <w:r>
        <w:t xml:space="preserve">Per tant, el missatge docent és transferible: primer identifiquem la necessitat funcional; després definim el port; finalment implementem adaptadors.</w:t>
      </w:r>
    </w:p>
    <w:bookmarkEnd w:id="17"/>
    <w:bookmarkStart w:id="18" w:name="Xbfe6b0fd34b3c609a21e8adce1ae4f130898e4d"/>
    <w:p>
      <w:pPr>
        <w:pStyle w:val="Ttulo3"/>
      </w:pPr>
      <w:r>
        <w:t xml:space="preserve">Diapositiva 10. Flux i codi essencial - 1:35</w:t>
      </w:r>
    </w:p>
    <w:p>
      <w:pPr>
        <w:pStyle w:val="FirstParagraph"/>
      </w:pPr>
      <w:r>
        <w:t xml:space="preserve">A partir d’aquí ja podem baixar al projecte concret HexaStock. Aquesta diapositiva mostra el flux temporal del cas d’ús de venda. [assenyalar el diagrama de seqüència]</w:t>
      </w:r>
    </w:p>
    <w:p>
      <w:pPr>
        <w:pStyle w:val="Textoindependiente"/>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Textoindependiente"/>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Textoindependiente"/>
      </w:pPr>
      <w:r>
        <w:t xml:space="preserve">Dit de manera sintètica: l’adaptador pot saber com obtenir un preu; no hauria de decidir com es ven una acció dins la cartera. [pausa]</w:t>
      </w:r>
    </w:p>
    <w:p>
      <w:pPr>
        <w:pStyle w:val="Textoindependiente"/>
      </w:pPr>
      <w:r>
        <w:t xml:space="preserve">Aquesta idea ens porta al tancament: l’arquitectura no elimina la dependència respecte del món exterior, però sí que ens ajuda a ubicar-la en una frontera explícita.</w:t>
      </w:r>
    </w:p>
    <w:bookmarkEnd w:id="18"/>
    <w:bookmarkStart w:id="19" w:name="diapositiva-11.-agraïment---140"/>
    <w:p>
      <w:pPr>
        <w:pStyle w:val="Ttulo3"/>
      </w:pPr>
      <w:r>
        <w:t xml:space="preserve">Diapositiva 11. Agraïment - 1:40</w:t>
      </w:r>
    </w:p>
    <w:p>
      <w:pPr>
        <w:pStyle w:val="FirstParagraph"/>
      </w:pPr>
      <w:r>
        <w:t xml:space="preserve">Per tancar, voldria recuperar aquesta idea final. [pausa breu]</w:t>
      </w:r>
    </w:p>
    <w:p>
      <w:pPr>
        <w:pStyle w:val="Textoindependiente"/>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Textoindependiente"/>
      </w:pPr>
      <w:r>
        <w:t xml:space="preserve">Quan canvia un proveïdor, una API o una tecnologia, volem canviar l’adaptador. No volem reescriure el cas d’ús ni deformar el model de domini. [pausa]</w:t>
      </w:r>
    </w:p>
    <w:p>
      <w:pPr>
        <w:pStyle w:val="Textoindependiente"/>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Textoindependiente"/>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three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55"/>
    <w:p>
      <w:pPr>
        <w:pStyle w:val="Ttulo3"/>
      </w:pPr>
      <w:r>
        <w:t xml:space="preserve">5. Informació externa - 1:55</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205"/>
    <w:p>
      <w:pPr>
        <w:pStyle w:val="Ttulo3"/>
      </w:pPr>
      <w:r>
        <w:t xml:space="preserve">6. Dependència directa - 2:05</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En Java, el port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55"/>
    <w:p>
      <w:pPr>
        <w:pStyle w:val="Ttulo3"/>
      </w:pPr>
      <w:r>
        <w:t xml:space="preserve">8. Port patrimonial - 1:55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35"/>
    <w:p>
      <w:pPr>
        <w:pStyle w:val="Ttulo3"/>
      </w:pPr>
      <w:r>
        <w:t xml:space="preserve">9. Domini financer - 1:35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concretar-ho en el flux de HexaStock.</w:t>
      </w:r>
    </w:p>
    <w:bookmarkEnd w:id="31"/>
    <w:bookmarkStart w:id="32" w:name="flux-i-codi---135"/>
    <w:p>
      <w:pPr>
        <w:pStyle w:val="Ttulo3"/>
      </w:pPr>
      <w:r>
        <w:t xml:space="preserve">10. Flux i codi - 1:35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el servei coordina, el domini decideix, l’adaptador integra.</w:t>
      </w:r>
    </w:p>
    <w:p>
      <w:pPr>
        <w:pStyle w:val="Compact"/>
        <w:numPr>
          <w:ilvl w:val="0"/>
          <w:numId w:val="1011"/>
        </w:numPr>
      </w:pPr>
      <w:r>
        <w:t xml:space="preserve">Transició: conclusió i agraïment.</w:t>
      </w:r>
    </w:p>
    <w:bookmarkEnd w:id="32"/>
    <w:bookmarkStart w:id="33" w:name="agraïment---140"/>
    <w:p>
      <w:pPr>
        <w:pStyle w:val="Ttulo3"/>
      </w:pPr>
      <w:r>
        <w:t xml:space="preserve">11. Agraïment - 1:40</w:t>
      </w:r>
    </w:p>
    <w:p>
      <w:pPr>
        <w:pStyle w:val="Compact"/>
        <w:numPr>
          <w:ilvl w:val="0"/>
          <w:numId w:val="1012"/>
        </w:numPr>
      </w:pPr>
      <w:r>
        <w:t xml:space="preserve">Arquitectura no elimina canvi; el localitza.</w:t>
      </w:r>
    </w:p>
    <w:p>
      <w:pPr>
        <w:pStyle w:val="Compact"/>
        <w:numPr>
          <w:ilvl w:val="0"/>
          <w:numId w:val="1012"/>
        </w:numPr>
      </w:pPr>
      <w:r>
        <w:t xml:space="preserve">Canviar adaptador, no cas d’ús ni domini.</w:t>
      </w:r>
    </w:p>
    <w:p>
      <w:pPr>
        <w:pStyle w:val="Compact"/>
        <w:numPr>
          <w:ilvl w:val="0"/>
          <w:numId w:val="1012"/>
        </w:numPr>
      </w:pPr>
      <w:r>
        <w:t xml:space="preserve">Agraïment TecnoCampus.</w:t>
      </w:r>
    </w:p>
    <w:p>
      <w:pPr>
        <w:pStyle w:val="Compact"/>
        <w:numPr>
          <w:ilvl w:val="0"/>
          <w:numId w:val="1012"/>
        </w:numPr>
      </w:pPr>
      <w:r>
        <w:t xml:space="preserve">Agraïment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Interfície, contracte,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41" w:name="pla-dentrenament-comunicatiu"/>
    <w:p>
      <w:pPr>
        <w:pStyle w:val="Ttulo2"/>
      </w:pPr>
      <w:r>
        <w:t xml:space="preserve">4. Pla d’entrenament comunicatiu</w:t>
      </w:r>
    </w:p>
    <w:bookmarkStart w:id="37"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interfície, i la conclusió final. La resta pot ser més flexible.</w:t>
      </w:r>
    </w:p>
    <w:p>
      <w:pPr>
        <w:pStyle w:val="Textoindependiente"/>
      </w:pPr>
      <w:r>
        <w:t xml:space="preserve">Després fes una lectura cronometrada només del cos principal, sense annex. Ritme orientatiu: 125-135 paraules per minut, amb pauses reals. Si surt per sobre de 21 minuts, retalla detall de les diapositives 5, 6, 8 o 9. Si surt per sota de 18:30, no afegeixis contingut tècnic nou; amplia pauses, mirada i transicions.</w:t>
      </w:r>
    </w:p>
    <w:p>
      <w:pPr>
        <w:pStyle w:val="Textoindependiente"/>
      </w:pPr>
      <w:r>
        <w:t xml:space="preserve">La demo opcional s’ha d’assajar per separat. No s’ha d’incloure en el cronòmetre principal.</w:t>
      </w:r>
    </w:p>
    <w:bookmarkEnd w:id="37"/>
    <w:bookmarkStart w:id="38"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en Java, el port s'expressa com una interfície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0"/>
    <w:bookmarkEnd w:id="41"/>
    <w:bookmarkStart w:id="42" w:name="advertiments-finals"/>
    <w:p>
      <w:pPr>
        <w:pStyle w:val="Ttulo2"/>
      </w:pPr>
      <w:r>
        <w:t xml:space="preserve">5. Advertiments finals</w:t>
      </w:r>
    </w:p>
    <w:p>
      <w:pPr>
        <w:pStyle w:val="FirstParagraph"/>
      </w:pPr>
      <w:r>
        <w:t xml:space="preserve">Risc de temps: les diapositives 4-10 poden allargar-se fàcilment. Si vas tard, no retallis la conclusió; retalla detall del cas AGAUR, de la transferència al domini financer o de la lectura del diagrama de seqüència.</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sempre amb Java. En aquesta explicació, el port s’expressa com una interfície i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2"/>
    <w:bookmarkEnd w:id="43"/>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2026-07-03T21:01:56Z</dcterms:created>
  <dcterms:modified xsi:type="dcterms:W3CDTF">2026-07-03T21:01:56Z</dcterms:modified>
</cp:coreProperties>
</file>

<file path=docProps/custom.xml><?xml version="1.0" encoding="utf-8"?>
<Properties xmlns="http://schemas.openxmlformats.org/officeDocument/2006/custom-properties" xmlns:vt="http://schemas.openxmlformats.org/officeDocument/2006/docPropsVTypes"/>
</file>