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0e91efcdfc21fc1542c629021a59166df219849"/>
    <w:p>
      <w:pPr>
        <w:pStyle w:val="Ttulo1"/>
      </w:pPr>
      <w:r>
        <w:t xml:space="preserve">Materials orals canònics per a la trajectòria de 10 minuts</w:t>
      </w:r>
    </w:p>
    <w:p>
      <w:pPr>
        <w:pStyle w:val="FirstParagraph"/>
      </w:pPr>
      <w:r>
        <w:t xml:space="preserve">Fonts canòniques utilitzades: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/Users/alfre/Library/CloudStorage/OneDrive-TecnocampusMataro-Maresme/Doctorat/Tesis Doctoral/RepositorioGitHub/Preparación documentación Plaza Profesor TecnoCampus/CV TecnoCampus/Versiones/cv-academic-tecnocampus-alfredo-rueda-unsain-v4.pdf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/Users/alfre/Library/CloudStorage/OneDrive-TecnocampusMataro-Maresme/Doctorat/Tesis Doctoral/RepositorioGitHub/Preparación documentación Plaza Profesor TecnoCampus/CV TecnoCampus/Documentación Tesis Doctoral/versión final plan de investigación.pdf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IMPORTANTE_MANUAL_defensa-dsi-ports-sortida-hexagonal.pptx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materials-orals-canonics-20-minuts.md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REMARKABLE_materials-orals-canonics-20-minuts.pdf</w:t>
      </w:r>
    </w:p>
    <w:p>
      <w:pPr>
        <w:pStyle w:val="FirstParagraph"/>
      </w:pPr>
      <w:r>
        <w:t xml:space="preserve">Fonts públiques de contrast per a Vida Software:</w:t>
      </w:r>
    </w:p>
    <w:p>
      <w:pPr>
        <w:pStyle w:val="Compact"/>
        <w:numPr>
          <w:ilvl w:val="0"/>
          <w:numId w:val="1002"/>
        </w:numPr>
      </w:pPr>
      <w:r>
        <w:t xml:space="preserve">Speech Technology Magazine:</w:t>
      </w:r>
      <w:r>
        <w:t xml:space="preserve"> </w:t>
      </w:r>
      <w:r>
        <w:rPr>
          <w:rStyle w:val="VerbatimChar"/>
        </w:rPr>
        <w:t xml:space="preserve">VIDA Software Releases Native C++ and Java Natural Interaction APIs for Symbian OS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W3C Workshop on Multimodal Interaction:</w:t>
      </w:r>
      <w:r>
        <w:t xml:space="preserve"> </w:t>
      </w:r>
      <w:r>
        <w:rPr>
          <w:rStyle w:val="VerbatimChar"/>
        </w:rPr>
        <w:t xml:space="preserve">Natural Interaction for Multimodal Mobile Devices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Forum Nokia Consumer Applications: referència a</w:t>
      </w:r>
      <w:r>
        <w:t xml:space="preserve"> </w:t>
      </w:r>
      <w:r>
        <w:rPr>
          <w:rStyle w:val="VerbatimChar"/>
        </w:rPr>
        <w:t xml:space="preserve">Natural Interaction Platform</w:t>
      </w:r>
      <w:r>
        <w:t xml:space="preserve">, J2ME i Symbian OS.</w:t>
      </w:r>
    </w:p>
    <w:p>
      <w:pPr>
        <w:pStyle w:val="Compact"/>
        <w:numPr>
          <w:ilvl w:val="0"/>
          <w:numId w:val="1002"/>
        </w:numPr>
      </w:pPr>
      <w:r>
        <w:t xml:space="preserve">Google Patents: patent internacional</w:t>
      </w:r>
      <w:r>
        <w:t xml:space="preserve"> </w:t>
      </w:r>
      <w:r>
        <w:rPr>
          <w:rStyle w:val="VerbatimChar"/>
        </w:rPr>
        <w:t xml:space="preserve">WO2007141498A1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 interfaces for electronic devices</w:t>
      </w:r>
      <w:r>
        <w:t xml:space="preserve">, assignada a Vida Software S.L.</w:t>
      </w:r>
    </w:p>
    <w:p>
      <w:pPr>
        <w:pStyle w:val="FirstParagraph"/>
      </w:pPr>
      <w:r>
        <w:t xml:space="preserve">Nota de versió: aquests materials són independents de la classe magistral de 20 minuts. La seva funció és donar suport a la primera part de la defensa de la plaça: trajectòria professional, acadèmica i científica. La presentació està limitada a 6 diapositives i a una durada aproximada de 10 minuts.</w:t>
      </w:r>
    </w:p>
    <w:p>
      <w:r>
        <w:pict>
          <v:rect style="width:0;height:1.5pt" o:hralign="center" o:hrstd="t" o:hr="t"/>
        </w:pict>
      </w:r>
    </w:p>
    <w:bookmarkStart w:id="15" w:name="guió-oral-complet-imprimible"/>
    <w:p>
      <w:pPr>
        <w:pStyle w:val="Ttulo2"/>
      </w:pPr>
      <w:r>
        <w:t xml:space="preserve">1. Guió oral complet imprimible</w:t>
      </w:r>
    </w:p>
    <w:p>
      <w:pPr>
        <w:pStyle w:val="FirstParagraph"/>
      </w:pPr>
      <w:r>
        <w:t xml:space="preserve">Temps total previst d’assaig: 9:00-9:20 aproximadament, amb pauses reals.</w:t>
      </w:r>
    </w:p>
    <w:bookmarkStart w:id="9" w:name="X955f66c7fc938677aca3c0234d4f82c1654e8a5"/>
    <w:p>
      <w:pPr>
        <w:pStyle w:val="Ttulo3"/>
      </w:pPr>
      <w:r>
        <w:t xml:space="preserve">Diapositiva 1. Trajectòria professional, acadèmica i científica - 0:50</w:t>
      </w:r>
    </w:p>
    <w:p>
      <w:pPr>
        <w:pStyle w:val="FirstParagraph"/>
      </w:pPr>
      <w:r>
        <w:t xml:space="preserve">Bon dia, membres del tribunal. Moltes gràcies per l’oportunitat de presentar aquesta trajectòria. [mirada al tribunal]</w:t>
      </w:r>
    </w:p>
    <w:p>
      <w:pPr>
        <w:pStyle w:val="Textoindependiente"/>
      </w:pPr>
      <w:r>
        <w:t xml:space="preserve">En aquests deu minuts no faré una lectura cronològica del currículum. Voldria explicar el fil conductor d’una trajectòria iniciada el 2004 i articulada al voltant de cinc dimensions: enginyeria del software, docència universitària, innovació educativa, transferència i recerca. [pausa breu]</w:t>
      </w:r>
    </w:p>
    <w:p>
      <w:pPr>
        <w:pStyle w:val="Textoindependiente"/>
      </w:pPr>
      <w:r>
        <w:t xml:space="preserve">La idea central és senzilla: la meva trajectòria neix en la indústria del software, s’amplia cap a la docència universitària en software i troba al TecnoCampus un espai coherent per consolidar un projecte acadèmic.</w:t>
      </w:r>
    </w:p>
    <w:p>
      <w:pPr>
        <w:pStyle w:val="Textoindependiente"/>
      </w:pPr>
      <w:r>
        <w:t xml:space="preserve">Aquest és el recorregut que presentaré: base professional, vocació docent, pas a la universitat, consolidació al TecnoCampus i projecte de futur.</w:t>
      </w:r>
    </w:p>
    <w:bookmarkEnd w:id="9"/>
    <w:bookmarkStart w:id="10" w:name="X14a8b7aa807d9c5e07cea297e688b2b46d3c015"/>
    <w:p>
      <w:pPr>
        <w:pStyle w:val="Ttulo3"/>
      </w:pPr>
      <w:r>
        <w:t xml:space="preserve">Diapositiva 2. Primera etapa: enginyeria del software i consultoria - 1:10</w:t>
      </w:r>
    </w:p>
    <w:p>
      <w:pPr>
        <w:pStyle w:val="FirstParagraph"/>
      </w:pPr>
      <w:r>
        <w:t xml:space="preserve">La primera etapa és una etapa d’indústria del software. [to calmat]</w:t>
      </w:r>
    </w:p>
    <w:p>
      <w:pPr>
        <w:pStyle w:val="Textoindependiente"/>
      </w:pPr>
      <w:r>
        <w:t xml:space="preserve">A Vida Software vaig treballar en un component del sistema operatiu Symbian orientat a incorporar interacció per veu en aplicacions mòbils. Era una peça de plataforma en C/C++, amb restriccions fortes de rendiment i memòria, presentada en entorns com el 3GSM / Mobile World Congress i vinculada al context d’innovació d’una patent de Vida Software sobre interfícies d’usuari.</w:t>
      </w:r>
    </w:p>
    <w:p>
      <w:pPr>
        <w:pStyle w:val="Textoindependiente"/>
      </w:pPr>
      <w:r>
        <w:t xml:space="preserve">El pas a openTrends va ampliar aquesta base cap a Java, Linux, Spring, sistemes d’informació, clients i equips. Allà la comunicació tècnica va guanyar pes: entendre necessitats, explicar decisions i formar enginyers júniors.</w:t>
      </w:r>
    </w:p>
    <w:p>
      <w:pPr>
        <w:pStyle w:val="Textoindependiente"/>
      </w:pPr>
      <w:r>
        <w:t xml:space="preserve">Mirat amb perspectiva, aquesta etapa em va donar dues coses: solvència tècnica en entorns exigents i la descoberta d’una inclinació clara cap a explicar, ordenar coneixement i acompanyar l’aprenentatge d’altres persones.</w:t>
      </w:r>
    </w:p>
    <w:p>
      <w:pPr>
        <w:pStyle w:val="Textoindependiente"/>
      </w:pPr>
      <w:r>
        <w:t xml:space="preserve">Per això la transició cap a la docència no va ser una ruptura, sinó una evolució natural de la mateixa trajectòria professional.</w:t>
      </w:r>
    </w:p>
    <w:bookmarkEnd w:id="10"/>
    <w:bookmarkStart w:id="11" w:name="X8f1b53b5610d6a0c742d40bf35583d23a786a28"/>
    <w:p>
      <w:pPr>
        <w:pStyle w:val="Ttulo3"/>
      </w:pPr>
      <w:r>
        <w:t xml:space="preserve">Diapositiva 3. Formació Professional: el descobriment clar de la vocació docent - 1:10</w:t>
      </w:r>
    </w:p>
    <w:p>
      <w:pPr>
        <w:pStyle w:val="FirstParagraph"/>
      </w:pPr>
      <w:r>
        <w:t xml:space="preserve">Per donar consistència a aquesta decisió vaig cursar el màster en Formació del Professorat i vaig iniciar una etapa docent en Formació Professional, en l’àmbit de DAW i DAM. [pausa breu]</w:t>
      </w:r>
    </w:p>
    <w:p>
      <w:pPr>
        <w:pStyle w:val="Textoindependiente"/>
      </w:pPr>
      <w:r>
        <w:t xml:space="preserve">A la Formació Professional vaig trobar una dimensió que buscava des de feia temps: l’aula, la relació directa amb l’alumnat i la responsabilitat d’acompanyar processos d’aprenentatge.</w:t>
      </w:r>
    </w:p>
    <w:p>
      <w:pPr>
        <w:pStyle w:val="Textoindependiente"/>
      </w:pPr>
      <w:r>
        <w:t xml:space="preserve">Va ser una etapa molt valuosa. Em va ajudar a aprendre a ensenyar, a escoltar millor i a entendre que la docència no és només transmetre contingut tècnic. També és crear condicions perquè l’estudiant pugui avançar, equivocar-se, recuperar confiança i construir criteri.</w:t>
      </w:r>
    </w:p>
    <w:p>
      <w:pPr>
        <w:pStyle w:val="Textoindependiente"/>
      </w:pPr>
      <w:r>
        <w:t xml:space="preserve">Amb el temps, aquesta etapa va evolucionar cap a continguts universitaris més avançats: enginyeria del software, arquitectura de software, disseny de sistemes d’informació i experiència professional aplicada.</w:t>
      </w:r>
    </w:p>
    <w:p>
      <w:pPr>
        <w:pStyle w:val="Textoindependiente"/>
      </w:pPr>
      <w:r>
        <w:t xml:space="preserve">Això va orientar la mirada cap a la universitat per poder situar aquesta experiència tècnica i docent en assignatures d’enginyeria amb més profunditat conceptual.</w:t>
      </w:r>
    </w:p>
    <w:bookmarkEnd w:id="11"/>
    <w:bookmarkStart w:id="12" w:name="X49d56bb52746b0bc970262def2624a673c15ab9"/>
    <w:p>
      <w:pPr>
        <w:pStyle w:val="Ttulo3"/>
      </w:pPr>
      <w:r>
        <w:t xml:space="preserve">Diapositiva 4. La Salle i el pont cap al TecnoCampus - 1:45</w:t>
      </w:r>
    </w:p>
    <w:p>
      <w:pPr>
        <w:pStyle w:val="FirstParagraph"/>
      </w:pPr>
      <w:r>
        <w:t xml:space="preserve">La Salle em va permetre entrar en un entorn universitari tècnicament exigent. [transició]</w:t>
      </w:r>
    </w:p>
    <w:p>
      <w:pPr>
        <w:pStyle w:val="Textoindependiente"/>
      </w:pPr>
      <w:r>
        <w:t xml:space="preserve">Allà vaig impartir assignatures vinculades a l’enginyeria del software, sistemes operatius i desenvolupament d’aplicacions. També vaig participar en una experiència ABP a Projectes de Programació II, vinculada a Sallefy. És una etapa que valoro molt: em va obrir la docència universitària i em va permetre portar a l’aula coneixement tècnic avançat.</w:t>
      </w:r>
    </w:p>
    <w:p>
      <w:pPr>
        <w:pStyle w:val="Textoindependiente"/>
      </w:pPr>
      <w:r>
        <w:t xml:space="preserve">El pas cap al TecnoCampus va ser una decisió reflexionada, valorada amb la direcció i la coordinació acadèmica. La Salle té una tradició d’enginyeria sòlida i una forta tradició específicament en l’enginyeria de telecomunicacions. Amb el temps, vaig considerar que la meva especialització en enginyeria del software, arquitectura d’aplicacions, backend i sistemes d’informació podia tenir un encaix més directe al TecnoCampus. [mirada al tribunal]</w:t>
      </w:r>
    </w:p>
    <w:p>
      <w:pPr>
        <w:pStyle w:val="Textoindependiente"/>
      </w:pPr>
      <w:r>
        <w:t xml:space="preserve">La proximitat geogràfica va reforçar aquesta decisió, perquè facilitava una trajectòria acadèmica sostenible i compatible amb les responsabilitats familiars.</w:t>
      </w:r>
    </w:p>
    <w:p>
      <w:pPr>
        <w:pStyle w:val="Textoindependiente"/>
      </w:pPr>
      <w:r>
        <w:t xml:space="preserve">En aquest procés, la Dra. Ester Bernadó va facilitar el contacte acadèmic amb el TecnoCampus i el coneixement mutu.</w:t>
      </w:r>
    </w:p>
    <w:p>
      <w:pPr>
        <w:pStyle w:val="Textoindependiente"/>
      </w:pPr>
      <w:r>
        <w:t xml:space="preserve">Després d’aquell contacte vaig començar com a professor associat al TecnoCampus. I des del primer moment vaig percebre que hi podien confluir dimensions que fins aleshores havien avançat separades: docència universitària, enginyeria del software, sistemes d’informació i sostenibilitat personal.</w:t>
      </w:r>
    </w:p>
    <w:p>
      <w:pPr>
        <w:pStyle w:val="Textoindependiente"/>
      </w:pPr>
      <w:r>
        <w:t xml:space="preserve">El desig de consolidar una plaça al TecnoCampus, per tant, no neix ara. Ve de lluny.</w:t>
      </w:r>
    </w:p>
    <w:bookmarkEnd w:id="12"/>
    <w:bookmarkStart w:id="13" w:name="X4c4c60172da25e687857902e325fc7dffe96a3f"/>
    <w:p>
      <w:pPr>
        <w:pStyle w:val="Ttulo3"/>
      </w:pPr>
      <w:r>
        <w:t xml:space="preserve">Diapositiva 5. TecnoCampus: docència, equip i arquitectura de software - 2:05</w:t>
      </w:r>
    </w:p>
    <w:p>
      <w:pPr>
        <w:pStyle w:val="FirstParagraph"/>
      </w:pPr>
      <w:r>
        <w:t xml:space="preserve">El TecnoCampus ha estat el lloc on aquesta trajectòria ha trobat més coherència. [pausa breu]</w:t>
      </w:r>
    </w:p>
    <w:p>
      <w:pPr>
        <w:pStyle w:val="Textoindependiente"/>
      </w:pPr>
      <w:r>
        <w:t xml:space="preserve">Des de 2021 hi he desenvolupat docència universitària continuada en assignatures vinculades a programació, estructures de dades, aplicacions d’Internet, enginyeria del software i disseny de sistemes d’informació.</w:t>
      </w:r>
    </w:p>
    <w:p>
      <w:pPr>
        <w:pStyle w:val="Textoindependiente"/>
      </w:pPr>
      <w:r>
        <w:t xml:space="preserve">Aquesta continuïtat no és només temporal. El certificat institucional recull quinze registres oficials d’avaluació docent, entre els cursos 2021-2022 i 2025-2026, amb una mitjana aritmètica simple de 8,75 sobre 10. I els quatre registres dels dos darrers cursos presenten una mitjana aritmètica simple de 9,03 sobre 10.</w:t>
      </w:r>
    </w:p>
    <w:p>
      <w:pPr>
        <w:pStyle w:val="Textoindependiente"/>
      </w:pPr>
      <w:r>
        <w:t xml:space="preserve">Ho esmento no com una valoració personal, sinó com un indicador documentat de treball docent sostingut, capacitat d’adaptació i voluntat de millora. [pausa breu]</w:t>
      </w:r>
    </w:p>
    <w:p>
      <w:pPr>
        <w:pStyle w:val="Textoindependiente"/>
      </w:pPr>
      <w:r>
        <w:t xml:space="preserve">També ha estat molt important el treball amb l’equip. Voldria destacar especialment el Dr. Josep Roure, amb qui he compartit docència i aprenentatge en arquitectura de software, Domain-Driven Design, Clean Architecture i arquitectura hexagonal.</w:t>
      </w:r>
    </w:p>
    <w:p>
      <w:pPr>
        <w:pStyle w:val="Textoindependiente"/>
      </w:pPr>
      <w:r>
        <w:t xml:space="preserve">La participació acreditada en el projecte SQAI d’Aprenentatge Basat en Projectes a Laboratori d’Aplicacions Internet, m’ha permès integrar docència, arquitectura de software i millora educativa.</w:t>
      </w:r>
    </w:p>
    <w:p>
      <w:pPr>
        <w:pStyle w:val="Textoindependiente"/>
      </w:pPr>
      <w:r>
        <w:t xml:space="preserve">I això connecta directament amb la segona part de la defensa: la classe magistral sobre ports de sortida en arquitectura hexagonal no és una peça aïllada, sinó una mostra d’aquest punt de trobada entre docència universitària, enginyeria del software i transferència.</w:t>
      </w:r>
    </w:p>
    <w:bookmarkEnd w:id="13"/>
    <w:bookmarkStart w:id="14" w:name="X6f526021fd185638af6f7d611c2a3a910a439de"/>
    <w:p>
      <w:pPr>
        <w:pStyle w:val="Ttulo3"/>
      </w:pPr>
      <w:r>
        <w:t xml:space="preserve">Diapositiva 6. Consultoria i formació internacional, recerca doctoral i projecte de futur - 2:20</w:t>
      </w:r>
    </w:p>
    <w:p>
      <w:pPr>
        <w:pStyle w:val="FirstParagraph"/>
      </w:pPr>
      <w:r>
        <w:t xml:space="preserve">En paral·lel, he mantingut una línia de transferència universitat-empresa i formació internacional. [transició]</w:t>
      </w:r>
    </w:p>
    <w:p>
      <w:pPr>
        <w:pStyle w:val="Textoindependiente"/>
      </w:pPr>
      <w:r>
        <w:t xml:space="preserve">Disposo del C1 Advanced de Cambridge, amb una puntuació global de 185, i l’anglès és una llengua de treball real. En el marc de Neueda he impartit formació internacional d’enginyeria del software en anglès, vinculada a Java, Spring, arquitectura i qualitat.</w:t>
      </w:r>
    </w:p>
    <w:p>
      <w:pPr>
        <w:pStyle w:val="Textoindependiente"/>
      </w:pPr>
      <w:r>
        <w:t xml:space="preserve">També he desenvolupat activitats de transferència, com les 60 hores acreditades amb AGAUR sobre serveis REST, arquitectura hexagonal i modernització de sistemes d’informació.</w:t>
      </w:r>
    </w:p>
    <w:p>
      <w:pPr>
        <w:pStyle w:val="Textoindependiente"/>
      </w:pPr>
      <w:r>
        <w:t xml:space="preserve">El doctorat a la UDIMA és la maduració científica d’aquest recorregut. Però no el presentaria com una recerca genèrica sobre empatia. La meva recerca s’inscriu en l’Educació en Enginyeria del Software. [pausa breu]</w:t>
      </w:r>
    </w:p>
    <w:p>
      <w:pPr>
        <w:pStyle w:val="Textoindependiente"/>
      </w:pPr>
      <w:r>
        <w:t xml:space="preserve">No parteix d’una intuïció aïllada. La literatura internacional recent identifica mancances en la integració curricular, la mesura i els estudis longitudinals d’aquestes competències dins la formació dels futurs enginyers i enginyeres del software.</w:t>
      </w:r>
    </w:p>
    <w:p>
      <w:pPr>
        <w:pStyle w:val="Textoindependiente"/>
      </w:pPr>
      <w:r>
        <w:t xml:space="preserve">La tesi se situa en aquest espai mitjançant un disseny mixt i quasiexperimental, integrat en dues assignatures reals amb ABP, amb pretest, posttest, seguiment diferit i component qualitatiu. No pretén substituir la formació tècnica; pretén estudiar com complementar-la amb competències vinculades a requisits, usuaris, parts interessades, col·laboració i disseny responsable.</w:t>
      </w:r>
    </w:p>
    <w:p>
      <w:pPr>
        <w:pStyle w:val="Textoindependiente"/>
      </w:pPr>
      <w:r>
        <w:t xml:space="preserve">Per això, entenc aquesta plaça com la possibilitat de consolidar un projecte acadèmic ja vinculat al TecnoCampus: docència rigorosa, innovació educativa, transferència, recerca viable i acompanyament de l’alumnat. [mirada al tribunal]</w:t>
      </w:r>
    </w:p>
    <w:p>
      <w:pPr>
        <w:pStyle w:val="Textoindependiente"/>
      </w:pPr>
      <w:r>
        <w:t xml:space="preserve">Des d’aquest recorregut, la classe magistral que presentaré a continuació se situa precisament en aquest punt de trobada entre docència universitària, arquitectura de software i transferència professional.</w:t>
      </w:r>
    </w:p>
    <w:p>
      <w:pPr>
        <w:pStyle w:val="Textoindependiente"/>
      </w:pPr>
      <w:r>
        <w:t xml:space="preserve">Moltes gràcies.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2" w:name="notes-del-presentador-per-diapositiva"/>
    <w:p>
      <w:pPr>
        <w:pStyle w:val="Ttulo2"/>
      </w:pPr>
      <w:r>
        <w:t xml:space="preserve">2. Notes del presentador per diapositiva</w:t>
      </w:r>
    </w:p>
    <w:bookmarkStart w:id="16" w:name="trajectòria---050"/>
    <w:p>
      <w:pPr>
        <w:pStyle w:val="Ttulo3"/>
      </w:pPr>
      <w:r>
        <w:t xml:space="preserve">1. Trajectòria - 0:50</w:t>
      </w:r>
    </w:p>
    <w:p>
      <w:pPr>
        <w:pStyle w:val="Compact"/>
        <w:numPr>
          <w:ilvl w:val="0"/>
          <w:numId w:val="1003"/>
        </w:numPr>
      </w:pPr>
      <w:r>
        <w:t xml:space="preserve">Obrir amb agraïment breu.</w:t>
      </w:r>
    </w:p>
    <w:p>
      <w:pPr>
        <w:pStyle w:val="Compact"/>
        <w:numPr>
          <w:ilvl w:val="0"/>
          <w:numId w:val="1003"/>
        </w:numPr>
      </w:pPr>
      <w:r>
        <w:t xml:space="preserve">No llegir CV: explicar fil conductor.</w:t>
      </w:r>
    </w:p>
    <w:p>
      <w:pPr>
        <w:pStyle w:val="Compact"/>
        <w:numPr>
          <w:ilvl w:val="0"/>
          <w:numId w:val="1003"/>
        </w:numPr>
      </w:pPr>
      <w:r>
        <w:t xml:space="preserve">2004 -&gt; indústria, docència universitària, innovació, transferència, recerca i TecnoCampus.</w:t>
      </w:r>
    </w:p>
    <w:p>
      <w:pPr>
        <w:pStyle w:val="Compact"/>
        <w:numPr>
          <w:ilvl w:val="0"/>
          <w:numId w:val="1003"/>
        </w:numPr>
      </w:pPr>
      <w:r>
        <w:t xml:space="preserve">Missatge: trajectòria coherent amb la plaça.</w:t>
      </w:r>
    </w:p>
    <w:p>
      <w:pPr>
        <w:pStyle w:val="Compact"/>
        <w:numPr>
          <w:ilvl w:val="0"/>
          <w:numId w:val="1003"/>
        </w:numPr>
      </w:pPr>
      <w:r>
        <w:t xml:space="preserve">Transició: base professional en indústria.</w:t>
      </w:r>
    </w:p>
    <w:bookmarkEnd w:id="16"/>
    <w:bookmarkStart w:id="17" w:name="indústria-i-consultoria---110"/>
    <w:p>
      <w:pPr>
        <w:pStyle w:val="Ttulo3"/>
      </w:pPr>
      <w:r>
        <w:t xml:space="preserve">2. Indústria i consultoria - 1:10</w:t>
      </w:r>
    </w:p>
    <w:p>
      <w:pPr>
        <w:pStyle w:val="Compact"/>
        <w:numPr>
          <w:ilvl w:val="0"/>
          <w:numId w:val="1004"/>
        </w:numPr>
      </w:pPr>
      <w:r>
        <w:t xml:space="preserve">Vida Software: component del sistema operatiu Symbian per a interacció per veu.</w:t>
      </w:r>
    </w:p>
    <w:p>
      <w:pPr>
        <w:pStyle w:val="Compact"/>
        <w:numPr>
          <w:ilvl w:val="0"/>
          <w:numId w:val="1004"/>
        </w:numPr>
      </w:pPr>
      <w:r>
        <w:t xml:space="preserve">No era una app final: permetia que aplicacions Nokia/Symbian incorporessin veu.</w:t>
      </w:r>
    </w:p>
    <w:p>
      <w:pPr>
        <w:pStyle w:val="Compact"/>
        <w:numPr>
          <w:ilvl w:val="0"/>
          <w:numId w:val="1004"/>
        </w:numPr>
      </w:pPr>
      <w:r>
        <w:t xml:space="preserve">C/C++, rendiment, memòria i dispositiu com a senyals de profunditat tècnica.</w:t>
      </w:r>
    </w:p>
    <w:p>
      <w:pPr>
        <w:pStyle w:val="Compact"/>
        <w:numPr>
          <w:ilvl w:val="0"/>
          <w:numId w:val="1004"/>
        </w:numPr>
      </w:pPr>
      <w:r>
        <w:t xml:space="preserve">3GSM / Mobile World Congress i patent com a context d’innovació; no presentar la patent com a pròpia.</w:t>
      </w:r>
    </w:p>
    <w:p>
      <w:pPr>
        <w:pStyle w:val="Compact"/>
        <w:numPr>
          <w:ilvl w:val="0"/>
          <w:numId w:val="1004"/>
        </w:numPr>
      </w:pPr>
      <w:r>
        <w:t xml:space="preserve">openTrends: consultoria, clients, equips i sistemes d’informació.</w:t>
      </w:r>
    </w:p>
    <w:p>
      <w:pPr>
        <w:pStyle w:val="Compact"/>
        <w:numPr>
          <w:ilvl w:val="0"/>
          <w:numId w:val="1004"/>
        </w:numPr>
      </w:pPr>
      <w:r>
        <w:t xml:space="preserve">Punt clau: el que més gaudia era formar perfils més júniors.</w:t>
      </w:r>
    </w:p>
    <w:p>
      <w:pPr>
        <w:pStyle w:val="Compact"/>
        <w:numPr>
          <w:ilvl w:val="0"/>
          <w:numId w:val="1004"/>
        </w:numPr>
      </w:pPr>
      <w:r>
        <w:t xml:space="preserve">La comunicació passa de ser eina professional a pràctica docent.</w:t>
      </w:r>
    </w:p>
    <w:p>
      <w:pPr>
        <w:pStyle w:val="Compact"/>
        <w:numPr>
          <w:ilvl w:val="0"/>
          <w:numId w:val="1004"/>
        </w:numPr>
      </w:pPr>
      <w:r>
        <w:t xml:space="preserve">Transició: màster en Formació del Professorat i entrada a la Formació Professional.</w:t>
      </w:r>
    </w:p>
    <w:bookmarkEnd w:id="17"/>
    <w:bookmarkStart w:id="18" w:name="stucom---110"/>
    <w:p>
      <w:pPr>
        <w:pStyle w:val="Ttulo3"/>
      </w:pPr>
      <w:r>
        <w:t xml:space="preserve">3. Stucom - 1:10</w:t>
      </w:r>
    </w:p>
    <w:p>
      <w:pPr>
        <w:pStyle w:val="Compact"/>
        <w:numPr>
          <w:ilvl w:val="0"/>
          <w:numId w:val="1005"/>
        </w:numPr>
      </w:pPr>
      <w:r>
        <w:t xml:space="preserve">Decisió vocacional, no improvisació.</w:t>
      </w:r>
    </w:p>
    <w:p>
      <w:pPr>
        <w:pStyle w:val="Compact"/>
        <w:numPr>
          <w:ilvl w:val="0"/>
          <w:numId w:val="1005"/>
        </w:numPr>
      </w:pPr>
      <w:r>
        <w:t xml:space="preserve">Màster en Formació del Professorat + FP DAW/DAM.</w:t>
      </w:r>
    </w:p>
    <w:p>
      <w:pPr>
        <w:pStyle w:val="Compact"/>
        <w:numPr>
          <w:ilvl w:val="0"/>
          <w:numId w:val="1005"/>
        </w:numPr>
      </w:pPr>
      <w:r>
        <w:t xml:space="preserve">Aula, relació amb alumnat, escolta i acompanyament.</w:t>
      </w:r>
    </w:p>
    <w:p>
      <w:pPr>
        <w:pStyle w:val="Compact"/>
        <w:numPr>
          <w:ilvl w:val="0"/>
          <w:numId w:val="1005"/>
        </w:numPr>
      </w:pPr>
      <w:r>
        <w:t xml:space="preserve">Agraïment a l’FP; no menysvalorar-la.</w:t>
      </w:r>
    </w:p>
    <w:p>
      <w:pPr>
        <w:pStyle w:val="Compact"/>
        <w:numPr>
          <w:ilvl w:val="0"/>
          <w:numId w:val="1005"/>
        </w:numPr>
      </w:pPr>
      <w:r>
        <w:t xml:space="preserve">Evolució cap a continguts tècnics universitaris més avançats.</w:t>
      </w:r>
    </w:p>
    <w:bookmarkEnd w:id="18"/>
    <w:bookmarkStart w:id="19" w:name="la-salle-i-pont-cap-al-tecnocampus---145"/>
    <w:p>
      <w:pPr>
        <w:pStyle w:val="Ttulo3"/>
      </w:pPr>
      <w:r>
        <w:t xml:space="preserve">4. La Salle i pont cap al TecnoCampus - 1:45</w:t>
      </w:r>
    </w:p>
    <w:p>
      <w:pPr>
        <w:pStyle w:val="Compact"/>
        <w:numPr>
          <w:ilvl w:val="0"/>
          <w:numId w:val="1006"/>
        </w:numPr>
      </w:pPr>
      <w:r>
        <w:t xml:space="preserve">La Salle: universitat i exigència tècnica.</w:t>
      </w:r>
    </w:p>
    <w:p>
      <w:pPr>
        <w:pStyle w:val="Compact"/>
        <w:numPr>
          <w:ilvl w:val="0"/>
          <w:numId w:val="1006"/>
        </w:numPr>
      </w:pPr>
      <w:r>
        <w:t xml:space="preserve">La Salle és etapa valuosa; evitar comparacions jeràrquiques.</w:t>
      </w:r>
    </w:p>
    <w:p>
      <w:pPr>
        <w:pStyle w:val="Compact"/>
        <w:numPr>
          <w:ilvl w:val="0"/>
          <w:numId w:val="1006"/>
        </w:numPr>
      </w:pPr>
      <w:r>
        <w:t xml:space="preserve">Motiu principal: encaix acadèmic més directe amb enginyeria del software i sistemes d’informació.</w:t>
      </w:r>
    </w:p>
    <w:p>
      <w:pPr>
        <w:pStyle w:val="Compact"/>
        <w:numPr>
          <w:ilvl w:val="0"/>
          <w:numId w:val="1006"/>
        </w:numPr>
      </w:pPr>
      <w:r>
        <w:t xml:space="preserve">Conciliació com a factor complementari de sostenibilitat.</w:t>
      </w:r>
    </w:p>
    <w:p>
      <w:pPr>
        <w:pStyle w:val="Compact"/>
        <w:numPr>
          <w:ilvl w:val="0"/>
          <w:numId w:val="1006"/>
        </w:numPr>
      </w:pPr>
      <w:r>
        <w:t xml:space="preserve">Conversa amb coordinador i director a La Salle.</w:t>
      </w:r>
    </w:p>
    <w:p>
      <w:pPr>
        <w:pStyle w:val="Compact"/>
        <w:numPr>
          <w:ilvl w:val="0"/>
          <w:numId w:val="1006"/>
        </w:numPr>
      </w:pPr>
      <w:r>
        <w:t xml:space="preserve">La Dra. Ester Bernadó va facilitar el contacte acadèmic amb el TecnoCampus.</w:t>
      </w:r>
    </w:p>
    <w:p>
      <w:pPr>
        <w:pStyle w:val="Compact"/>
        <w:numPr>
          <w:ilvl w:val="0"/>
          <w:numId w:val="1006"/>
        </w:numPr>
      </w:pPr>
      <w:r>
        <w:t xml:space="preserve">TecnoCampus: docència universitària, software, sistemes d’informació, transferència i projecte sostenible.</w:t>
      </w:r>
    </w:p>
    <w:p>
      <w:pPr>
        <w:pStyle w:val="Compact"/>
        <w:numPr>
          <w:ilvl w:val="0"/>
          <w:numId w:val="1006"/>
        </w:numPr>
      </w:pPr>
      <w:r>
        <w:t xml:space="preserve">Frase clau: el desig de consolidar-se ve de lluny.</w:t>
      </w:r>
    </w:p>
    <w:bookmarkEnd w:id="19"/>
    <w:bookmarkStart w:id="20" w:name="tecnocampus---205"/>
    <w:p>
      <w:pPr>
        <w:pStyle w:val="Ttulo3"/>
      </w:pPr>
      <w:r>
        <w:t xml:space="preserve">5. TecnoCampus - 2:05</w:t>
      </w:r>
    </w:p>
    <w:p>
      <w:pPr>
        <w:pStyle w:val="Compact"/>
        <w:numPr>
          <w:ilvl w:val="0"/>
          <w:numId w:val="1007"/>
        </w:numPr>
      </w:pPr>
      <w:r>
        <w:t xml:space="preserve">Docència continuada des de 2021.</w:t>
      </w:r>
    </w:p>
    <w:p>
      <w:pPr>
        <w:pStyle w:val="Compact"/>
        <w:numPr>
          <w:ilvl w:val="0"/>
          <w:numId w:val="1007"/>
        </w:numPr>
      </w:pPr>
      <w:r>
        <w:t xml:space="preserve">Assignatures: programació, dades, Internet, enginyeria, DSI.</w:t>
      </w:r>
    </w:p>
    <w:p>
      <w:pPr>
        <w:pStyle w:val="Compact"/>
        <w:numPr>
          <w:ilvl w:val="0"/>
          <w:numId w:val="1007"/>
        </w:numPr>
      </w:pPr>
      <w:r>
        <w:t xml:space="preserve">15 registres oficials d’avaluació docent: mitjana aritmètica simple de 8,75/10.</w:t>
      </w:r>
    </w:p>
    <w:p>
      <w:pPr>
        <w:pStyle w:val="Compact"/>
        <w:numPr>
          <w:ilvl w:val="0"/>
          <w:numId w:val="1007"/>
        </w:numPr>
      </w:pPr>
      <w:r>
        <w:t xml:space="preserve">Quatre registres dels dos darrers cursos: mitjana aritmètica simple de 9,03/10.</w:t>
      </w:r>
    </w:p>
    <w:p>
      <w:pPr>
        <w:pStyle w:val="Compact"/>
        <w:numPr>
          <w:ilvl w:val="0"/>
          <w:numId w:val="1007"/>
        </w:numPr>
      </w:pPr>
      <w:r>
        <w:t xml:space="preserve">No dir mitjana ponderada ni percentatge de satisfacció.</w:t>
      </w:r>
    </w:p>
    <w:p>
      <w:pPr>
        <w:pStyle w:val="Compact"/>
        <w:numPr>
          <w:ilvl w:val="0"/>
          <w:numId w:val="1007"/>
        </w:numPr>
      </w:pPr>
      <w:r>
        <w:t xml:space="preserve">Josep Roure: arquitectura, DDD, Clean Architecture, hexagonal.</w:t>
      </w:r>
    </w:p>
    <w:p>
      <w:pPr>
        <w:pStyle w:val="Compact"/>
        <w:numPr>
          <w:ilvl w:val="0"/>
          <w:numId w:val="1007"/>
        </w:numPr>
      </w:pPr>
      <w:r>
        <w:t xml:space="preserve">Participació acreditada al projecte SQAI d’ABP a Laboratori d’Aplicacions Internet.</w:t>
      </w:r>
    </w:p>
    <w:p>
      <w:pPr>
        <w:pStyle w:val="Compact"/>
        <w:numPr>
          <w:ilvl w:val="0"/>
          <w:numId w:val="1007"/>
        </w:numPr>
      </w:pPr>
      <w:r>
        <w:t xml:space="preserve">HexaStock com a integració de docència, pràctica i transferència.</w:t>
      </w:r>
    </w:p>
    <w:p>
      <w:pPr>
        <w:pStyle w:val="Compact"/>
        <w:numPr>
          <w:ilvl w:val="0"/>
          <w:numId w:val="1007"/>
        </w:numPr>
      </w:pPr>
      <w:r>
        <w:t xml:space="preserve">Transició explícita a la classe magistral.</w:t>
      </w:r>
    </w:p>
    <w:bookmarkEnd w:id="20"/>
    <w:bookmarkStart w:id="21" w:name="neueda-doctorat-i-futur---220"/>
    <w:p>
      <w:pPr>
        <w:pStyle w:val="Ttulo3"/>
      </w:pPr>
      <w:r>
        <w:t xml:space="preserve">6. Neueda, doctorat i futur - 2:20</w:t>
      </w:r>
    </w:p>
    <w:p>
      <w:pPr>
        <w:pStyle w:val="Compact"/>
        <w:numPr>
          <w:ilvl w:val="0"/>
          <w:numId w:val="1008"/>
        </w:numPr>
      </w:pPr>
      <w:r>
        <w:t xml:space="preserve">Cambridge C1 Advanced: 185, Pass at Grade C, C1 MECR.</w:t>
      </w:r>
    </w:p>
    <w:p>
      <w:pPr>
        <w:pStyle w:val="Compact"/>
        <w:numPr>
          <w:ilvl w:val="0"/>
          <w:numId w:val="1008"/>
        </w:numPr>
      </w:pPr>
      <w:r>
        <w:t xml:space="preserve">Neueda: formació internacional en anglès en enginyeria del software.</w:t>
      </w:r>
    </w:p>
    <w:p>
      <w:pPr>
        <w:pStyle w:val="Compact"/>
        <w:numPr>
          <w:ilvl w:val="0"/>
          <w:numId w:val="1008"/>
        </w:numPr>
      </w:pPr>
      <w:r>
        <w:t xml:space="preserve">AGAUR: 60 hores de formació i consultoria especialitzada en REST, arquitectura hexagonal i sistemes d’informació.</w:t>
      </w:r>
    </w:p>
    <w:p>
      <w:pPr>
        <w:pStyle w:val="Compact"/>
        <w:numPr>
          <w:ilvl w:val="0"/>
          <w:numId w:val="1008"/>
        </w:numPr>
      </w:pPr>
      <w:r>
        <w:t xml:space="preserve">HUB4T: Java Backend Web Developer, 120 h per curs durant tres cursos acadèmics.</w:t>
      </w:r>
    </w:p>
    <w:p>
      <w:pPr>
        <w:pStyle w:val="Compact"/>
        <w:numPr>
          <w:ilvl w:val="0"/>
          <w:numId w:val="1008"/>
        </w:numPr>
      </w:pPr>
      <w:r>
        <w:t xml:space="preserve">Doctorat UDIMA: Educació en Enginyeria del Software.</w:t>
      </w:r>
    </w:p>
    <w:p>
      <w:pPr>
        <w:pStyle w:val="Compact"/>
        <w:numPr>
          <w:ilvl w:val="0"/>
          <w:numId w:val="1008"/>
        </w:numPr>
      </w:pPr>
      <w:r>
        <w:t xml:space="preserve">No presentar-lo com a psicologia genèrica ni com a resultats ja assolits.</w:t>
      </w:r>
    </w:p>
    <w:p>
      <w:pPr>
        <w:pStyle w:val="Compact"/>
        <w:numPr>
          <w:ilvl w:val="0"/>
          <w:numId w:val="1008"/>
        </w:numPr>
      </w:pPr>
      <w:r>
        <w:t xml:space="preserve">Tesi: problema obert identificat per la literatura recent; integració curricular, mesura i estudis longitudinals.</w:t>
      </w:r>
    </w:p>
    <w:p>
      <w:pPr>
        <w:pStyle w:val="Compact"/>
        <w:numPr>
          <w:ilvl w:val="0"/>
          <w:numId w:val="1008"/>
        </w:numPr>
      </w:pPr>
      <w:r>
        <w:t xml:space="preserve">Disseny mixt i quasiexperimental, dues assignatures reals amb ABP, pretest, posttest, seguiment diferit i component qualitatiu.</w:t>
      </w:r>
    </w:p>
    <w:p>
      <w:pPr>
        <w:pStyle w:val="Compact"/>
        <w:numPr>
          <w:ilvl w:val="0"/>
          <w:numId w:val="1008"/>
        </w:numPr>
      </w:pPr>
      <w:r>
        <w:t xml:space="preserve">Futur: docència, recerca, innovació, transferència i acompanyament.</w:t>
      </w:r>
    </w:p>
    <w:p>
      <w:pPr>
        <w:pStyle w:val="Compact"/>
        <w:numPr>
          <w:ilvl w:val="0"/>
          <w:numId w:val="1008"/>
        </w:numPr>
      </w:pPr>
      <w:r>
        <w:t xml:space="preserve">Tancar amb la plaça com a consolidació d’un projecte acadèmic.</w:t>
      </w:r>
    </w:p>
    <w:p>
      <w:pPr>
        <w:pStyle w:val="Compact"/>
        <w:numPr>
          <w:ilvl w:val="0"/>
          <w:numId w:val="1008"/>
        </w:numPr>
      </w:pPr>
      <w:r>
        <w:t xml:space="preserve">Enllaçar amb la classe magistral següent.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esquema-de-memorització"/>
    <w:p>
      <w:pPr>
        <w:pStyle w:val="Ttulo2"/>
      </w:pPr>
      <w:r>
        <w:t xml:space="preserve">3. Esquema de memorització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0"/>
        <w:gridCol w:w="3714"/>
        <w:gridCol w:w="2731"/>
        <w:gridCol w:w="8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Diapositiva</w:t>
            </w:r>
          </w:p>
        </w:tc>
        <w:tc>
          <w:tcPr/>
          <w:p>
            <w:pPr>
              <w:pStyle w:val="Compact"/>
            </w:pPr>
            <w:r>
              <w:t xml:space="preserve">Missatge central</w:t>
            </w:r>
          </w:p>
        </w:tc>
        <w:tc>
          <w:tcPr/>
          <w:p>
            <w:pPr>
              <w:pStyle w:val="Compact"/>
            </w:pPr>
            <w:r>
              <w:t xml:space="preserve">Paraules clau</w:t>
            </w:r>
          </w:p>
        </w:tc>
        <w:tc>
          <w:tcPr/>
          <w:p>
            <w:pPr>
              <w:pStyle w:val="Compact"/>
            </w:pPr>
            <w:r>
              <w:t xml:space="preserve">Transició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La trajectòria té un fil conductor</w:t>
            </w:r>
          </w:p>
        </w:tc>
        <w:tc>
          <w:tcPr/>
          <w:p>
            <w:pPr>
              <w:pStyle w:val="Compact"/>
            </w:pPr>
            <w:r>
              <w:t xml:space="preserve">2004, software, docència, transferència, recerca</w:t>
            </w:r>
          </w:p>
        </w:tc>
        <w:tc>
          <w:tcPr/>
          <w:p>
            <w:pPr>
              <w:pStyle w:val="Compact"/>
            </w:pPr>
            <w:r>
              <w:t xml:space="preserve">Base industrial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La indústria dona profunditat tècnica i desperta comunicació</w:t>
            </w:r>
          </w:p>
        </w:tc>
        <w:tc>
          <w:tcPr/>
          <w:p>
            <w:pPr>
              <w:pStyle w:val="Compact"/>
            </w:pPr>
            <w:r>
              <w:t xml:space="preserve">Symbian, C/C++, MWC, openTrends, Java</w:t>
            </w:r>
          </w:p>
        </w:tc>
        <w:tc>
          <w:tcPr/>
          <w:p>
            <w:pPr>
              <w:pStyle w:val="Compact"/>
            </w:pPr>
            <w:r>
              <w:t xml:space="preserve">Vocació docent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Stucom materialitza la vocació docent</w:t>
            </w:r>
          </w:p>
        </w:tc>
        <w:tc>
          <w:tcPr/>
          <w:p>
            <w:pPr>
              <w:pStyle w:val="Compact"/>
            </w:pPr>
            <w:r>
              <w:t xml:space="preserve">FP, aula, escolta, acompanyament</w:t>
            </w:r>
          </w:p>
        </w:tc>
        <w:tc>
          <w:tcPr/>
          <w:p>
            <w:pPr>
              <w:pStyle w:val="Compact"/>
            </w:pPr>
            <w:r>
              <w:t xml:space="preserve">Universitat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La Salle obre la universitat i TecnoCampus dona alineació</w:t>
            </w:r>
          </w:p>
        </w:tc>
        <w:tc>
          <w:tcPr/>
          <w:p>
            <w:pPr>
              <w:pStyle w:val="Compact"/>
            </w:pPr>
            <w:r>
              <w:t xml:space="preserve">La Salle, software, sistemes, Ester Bernadó</w:t>
            </w:r>
          </w:p>
        </w:tc>
        <w:tc>
          <w:tcPr/>
          <w:p>
            <w:pPr>
              <w:pStyle w:val="Compact"/>
            </w:pPr>
            <w:r>
              <w:t xml:space="preserve">Casa acadèmica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TecnoCampus integra docència, evidència, equip i transferència</w:t>
            </w:r>
          </w:p>
        </w:tc>
        <w:tc>
          <w:tcPr/>
          <w:p>
            <w:pPr>
              <w:pStyle w:val="Compact"/>
            </w:pPr>
            <w:r>
              <w:t xml:space="preserve">2021, 15 registres, 8,75, 9,03, SQAI</w:t>
            </w:r>
          </w:p>
        </w:tc>
        <w:tc>
          <w:tcPr/>
          <w:p>
            <w:pPr>
              <w:pStyle w:val="Compact"/>
            </w:pPr>
            <w:r>
              <w:t xml:space="preserve">Recerca i futur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Doctorat i futur se situen en l’Educació en Enginyeria del Software</w:t>
            </w:r>
          </w:p>
        </w:tc>
        <w:tc>
          <w:tcPr/>
          <w:p>
            <w:pPr>
              <w:pStyle w:val="Compact"/>
            </w:pPr>
            <w:r>
              <w:t xml:space="preserve">C1, Neueda, AGAUR, HUB4T, buit de recerca</w:t>
            </w:r>
          </w:p>
        </w:tc>
        <w:tc>
          <w:tcPr/>
          <w:p>
            <w:pPr>
              <w:pStyle w:val="Compact"/>
            </w:pPr>
            <w:r>
              <w:t xml:space="preserve">Classe magistral</w:t>
            </w:r>
          </w:p>
        </w:tc>
      </w:tr>
    </w:tbl>
    <w:p>
      <w:pPr>
        <w:pStyle w:val="Textoindependiente"/>
      </w:pPr>
      <w:r>
        <w:t xml:space="preserve">Mantra de memòria:</w:t>
      </w:r>
      <w:r>
        <w:t xml:space="preserve"> </w:t>
      </w:r>
      <w:r>
        <w:rPr>
          <w:rStyle w:val="VerbatimChar"/>
        </w:rPr>
        <w:t xml:space="preserve">indústria del software -&gt; docència universitària en software -&gt; TecnoCampus -&gt; recerca -&gt; futur</w:t>
      </w:r>
      <w:r>
        <w:t xml:space="preserve">.</w:t>
      </w:r>
    </w:p>
    <w:p>
      <w:pPr>
        <w:pStyle w:val="Textoindependiente"/>
      </w:pPr>
      <w:r>
        <w:t xml:space="preserve">Frase de tancament que convé memoritzar gairebé literalment:</w:t>
      </w:r>
    </w:p>
    <w:p>
      <w:pPr>
        <w:pStyle w:val="Textodebloque"/>
      </w:pPr>
      <w:r>
        <w:t xml:space="preserve">una recerca en Educació en Enginyeria del Software, integrada en assignatures reals, que vol contribuir a formar enginyers i enginyeres tècnicament solvents i professionalment responsables.</w:t>
      </w:r>
    </w:p>
    <w:p>
      <w:r>
        <w:pict>
          <v:rect style="width:0;height:1.5pt" o:hralign="center" o:hrstd="t" o:hr="t"/>
        </w:pict>
      </w:r>
    </w:p>
    <w:bookmarkEnd w:id="23"/>
    <w:bookmarkStart w:id="29" w:name="recomanacions-dassaig-ritme-veu-i-cos"/>
    <w:p>
      <w:pPr>
        <w:pStyle w:val="Ttulo2"/>
      </w:pPr>
      <w:r>
        <w:t xml:space="preserve">4. Recomanacions d’assaig, ritme, veu i cos</w:t>
      </w:r>
    </w:p>
    <w:bookmarkStart w:id="24" w:name="ritme"/>
    <w:p>
      <w:pPr>
        <w:pStyle w:val="Ttulo3"/>
      </w:pPr>
      <w:r>
        <w:t xml:space="preserve">Ritme</w:t>
      </w:r>
    </w:p>
    <w:p>
      <w:pPr>
        <w:pStyle w:val="FirstParagraph"/>
      </w:pPr>
      <w:r>
        <w:t xml:space="preserve">La presentació està pensada per a 9:00-9:20 amb un ritme pausat i marge real. Les diapositives 5 i 6 són les més importants i poden ocupar una mica més de temps. Si cal retallar durant l’assaig, retalla detall tècnic de la diapositiva 2 o una evidència de transferència de la diapositiva 6; no retallis les xifres docents del TecnoCampus.</w:t>
      </w:r>
    </w:p>
    <w:bookmarkEnd w:id="24"/>
    <w:bookmarkStart w:id="25" w:name="veu"/>
    <w:p>
      <w:pPr>
        <w:pStyle w:val="Ttulo3"/>
      </w:pPr>
      <w:r>
        <w:t xml:space="preserve">Veu</w:t>
      </w:r>
    </w:p>
    <w:p>
      <w:pPr>
        <w:pStyle w:val="FirstParagraph"/>
      </w:pPr>
      <w:r>
        <w:t xml:space="preserve">Mantén un to acadèmic, però no burocràtic. Les frases personals han de sonar naturals i sòbries:</w:t>
      </w:r>
      <w:r>
        <w:t xml:space="preserve"> </w:t>
      </w:r>
      <w:r>
        <w:rPr>
          <w:rStyle w:val="VerbatimChar"/>
        </w:rPr>
        <w:t xml:space="preserve">el desig de consolidar-me ve de lluny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projecte acadèmic vinculat al TecnoCampus</w:t>
      </w:r>
      <w:r>
        <w:t xml:space="preserve">. No cal intensificar-les; la força està a dir-les amb calma i amb evidència.</w:t>
      </w:r>
    </w:p>
    <w:bookmarkEnd w:id="25"/>
    <w:bookmarkStart w:id="26" w:name="cos-i-mirada"/>
    <w:p>
      <w:pPr>
        <w:pStyle w:val="Ttulo3"/>
      </w:pPr>
      <w:r>
        <w:t xml:space="preserve">Cos i mirada</w:t>
      </w:r>
    </w:p>
    <w:p>
      <w:pPr>
        <w:pStyle w:val="FirstParagraph"/>
      </w:pPr>
      <w:r>
        <w:t xml:space="preserve">Mira el tribunal en tres moments: inici, explicació de l’alineació TecnoCampus i tancament final. Mira la pantalla només quan la diapositiva ajudi a ordenar una etapa o una transició. A la diapositiva 5, atura’t una mica abans de dir les xifres d’avaluació docent.</w:t>
      </w:r>
    </w:p>
    <w:bookmarkEnd w:id="26"/>
    <w:bookmarkStart w:id="27" w:name="control-del-temps"/>
    <w:p>
      <w:pPr>
        <w:pStyle w:val="Ttulo3"/>
      </w:pPr>
      <w:r>
        <w:t xml:space="preserve">Control del temps</w:t>
      </w:r>
    </w:p>
    <w:p>
      <w:pPr>
        <w:pStyle w:val="Compact"/>
        <w:numPr>
          <w:ilvl w:val="0"/>
          <w:numId w:val="1009"/>
        </w:numPr>
      </w:pPr>
      <w:r>
        <w:t xml:space="preserve">Diapositiva 1: no superar 0:55.</w:t>
      </w:r>
    </w:p>
    <w:p>
      <w:pPr>
        <w:pStyle w:val="Compact"/>
        <w:numPr>
          <w:ilvl w:val="0"/>
          <w:numId w:val="1009"/>
        </w:numPr>
      </w:pPr>
      <w:r>
        <w:t xml:space="preserve">Diapositiva 2: no explicar massa Vida Software; màxim 30 segons.</w:t>
      </w:r>
    </w:p>
    <w:p>
      <w:pPr>
        <w:pStyle w:val="Compact"/>
        <w:numPr>
          <w:ilvl w:val="0"/>
          <w:numId w:val="1009"/>
        </w:numPr>
      </w:pPr>
      <w:r>
        <w:t xml:space="preserve">Diapositiva 3: evitar convertir-la en una història llarga sobre FP.</w:t>
      </w:r>
    </w:p>
    <w:p>
      <w:pPr>
        <w:pStyle w:val="Compact"/>
        <w:numPr>
          <w:ilvl w:val="0"/>
          <w:numId w:val="1009"/>
        </w:numPr>
      </w:pPr>
      <w:r>
        <w:t xml:space="preserve">Diapositiva 4: alineació acadèmica com a motiu principal; conciliació només com a sostenibilitat complementària.</w:t>
      </w:r>
    </w:p>
    <w:p>
      <w:pPr>
        <w:pStyle w:val="Compact"/>
        <w:numPr>
          <w:ilvl w:val="0"/>
          <w:numId w:val="1009"/>
        </w:numPr>
      </w:pPr>
      <w:r>
        <w:t xml:space="preserve">Diapositiva 5: és el centre docent i institucional; donar-li aire.</w:t>
      </w:r>
    </w:p>
    <w:p>
      <w:pPr>
        <w:pStyle w:val="Compact"/>
        <w:numPr>
          <w:ilvl w:val="0"/>
          <w:numId w:val="1009"/>
        </w:numPr>
      </w:pPr>
      <w:r>
        <w:t xml:space="preserve">Diapositiva 6: recerca com a Educació en Enginyeria del Software; tancar amb seguretat i enllaçar amb la classe magistral.</w:t>
      </w:r>
    </w:p>
    <w:bookmarkEnd w:id="27"/>
    <w:bookmarkStart w:id="28" w:name="versió-curta-demergència"/>
    <w:p>
      <w:pPr>
        <w:pStyle w:val="Ttulo3"/>
      </w:pPr>
      <w:r>
        <w:t xml:space="preserve">Versió curta d’emergència</w:t>
      </w:r>
    </w:p>
    <w:p>
      <w:pPr>
        <w:pStyle w:val="FirstParagraph"/>
      </w:pPr>
      <w:r>
        <w:t xml:space="preserve">Si durant la defensa veus que falta temps, elimina aquestes frases:</w:t>
      </w:r>
    </w:p>
    <w:p>
      <w:pPr>
        <w:pStyle w:val="Compact"/>
        <w:numPr>
          <w:ilvl w:val="0"/>
          <w:numId w:val="1010"/>
        </w:numPr>
      </w:pPr>
      <w:r>
        <w:t xml:space="preserve">A la diapositiva 2, digues només</w:t>
      </w:r>
      <w:r>
        <w:t xml:space="preserve"> </w:t>
      </w:r>
      <w:r>
        <w:rPr>
          <w:rStyle w:val="VerbatimChar"/>
        </w:rPr>
        <w:t xml:space="preserve">component de Symbian per incorporar veu en aplicacions mòbils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 la diapositiva 3, redueix la reflexió sobre FP a una frase d’agraïment.</w:t>
      </w:r>
    </w:p>
    <w:p>
      <w:pPr>
        <w:pStyle w:val="Compact"/>
        <w:numPr>
          <w:ilvl w:val="0"/>
          <w:numId w:val="1010"/>
        </w:numPr>
      </w:pPr>
      <w:r>
        <w:t xml:space="preserve">A la diapositiva 4, resumeix la conciliació en</w:t>
      </w:r>
      <w:r>
        <w:t xml:space="preserve"> </w:t>
      </w:r>
      <w:r>
        <w:rPr>
          <w:rStyle w:val="VerbatimChar"/>
        </w:rPr>
        <w:t xml:space="preserve">la proximitat reforçava una trajectòria acadèmica sostenible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 la diapositiva 6, si vas tard, elimina HUB4T i deixa només Cambridge, Neueda, AGAUR i doctorat.</w:t>
      </w:r>
    </w:p>
    <w:p>
      <w:pPr>
        <w:pStyle w:val="FirstParagraph"/>
      </w:pPr>
      <w:r>
        <w:t xml:space="preserve">No eliminis la connexió final amb la classe magistral.</w:t>
      </w:r>
    </w:p>
    <w:bookmarkEnd w:id="28"/>
    <w:bookmarkEnd w:id="29"/>
    <w:bookmarkEnd w:id="30"/>
    <w:sectPr w:rsidR="00F65441" w:rsidRPr="00455954">
      <w:footnotePr>
        <w:numRestart w:val="eachSect"/>
      </w:footnotePr>
      <w:pgSz w:h="15840" w:w="12240"/>
      <w:pgMar w:bottom="1417" w:footer="720" w:gutter="0" w:header="720" w:left="1701" w:right="1701" w:top="1417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ns1="http://schemas.openxmlformats.org/markup-compatibility/2006" xmlns:ns2="http://schemas.microsoft.com/office/word/2012/wordml" xmlns:ns3="http://schemas.microsoft.com/office/word/2016/wordml/cid" xmlns:w="http://schemas.openxmlformats.org/wordprocessingml/2006/main" ns1:Ignorable="w14 w15 w16se w16cid w16 w16cex w16sdtdh w16sdtfl w16du wp14">
  <w:abstractNum ns2:restartNumberingAfterBreak="0" w:abstractNumId="0">
    <w:nsid w:val="0000A990"/>
    <w:multiLevelType w:val="multilevel"/>
    <w:tmpl w:val="CA3615EA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ns2:restartNumberingAfterBreak="0" w:abstractNumId="1">
    <w:nsid w:val="0000A991"/>
    <w:multiLevelType w:val="multilevel"/>
    <w:tmpl w:val="F12E014E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ns3:durableId="144666998" w:numId="1">
    <w:abstractNumId w:val="0"/>
  </w:num>
  <w:num ns3:durableId="1410419399" w:numId="2">
    <w:abstractNumId w:val="1"/>
  </w:num>
  <w:num ns3:durableId="466897372" w:numId="3">
    <w:abstractNumId w:val="1"/>
  </w:num>
  <w:num ns3:durableId="1619142029" w:numId="4">
    <w:abstractNumId w:val="1"/>
  </w:num>
  <w:num ns3:durableId="988754143" w:numId="5">
    <w:abstractNumId w:val="1"/>
  </w:num>
  <w:num ns3:durableId="1848209600" w:numId="6">
    <w:abstractNumId w:val="1"/>
  </w:num>
  <w:num ns3:durableId="1766072532" w:numId="7">
    <w:abstractNumId w:val="1"/>
  </w:num>
  <w:num ns3:durableId="1921862898" w:numId="8">
    <w:abstractNumId w:val="1"/>
  </w:num>
  <w:num ns3:durableId="1438065664" w:numId="9">
    <w:abstractNumId w:val="1"/>
  </w:num>
  <w:num ns3:durableId="323168462" w:numId="10">
    <w:abstractNumId w:val="1"/>
  </w:num>
  <w:num ns3:durableId="1204441828" w:numId="11">
    <w:abstractNumId w:val="1"/>
  </w:num>
  <w:num ns3:durableId="941954038" w:numId="12">
    <w:abstractNumId w:val="1"/>
  </w:num>
  <w:num ns3:durableId="1411657343" w:numId="13">
    <w:abstractNumId w:val="1"/>
  </w:num>
  <w:num ns3:durableId="1168640367" w:numId="14">
    <w:abstractNumId w:val="1"/>
  </w:num>
  <w:num ns3:durableId="2045523877" w:numId="15">
    <w:abstractNumId w:val="1"/>
  </w:num>
  <w:num ns3:durableId="672026053" w:numId="16">
    <w:abstractNumId w:val="1"/>
  </w:num>
  <w:num ns3:durableId="1328555788" w:numId="17">
    <w:abstractNumId w:val="1"/>
  </w:num>
  <w:num ns3:durableId="1339043308" w:numId="18">
    <w:abstractNumId w:val="1"/>
  </w:num>
  <w:num ns3:durableId="940065575" w:numId="19">
    <w:abstractNumId w:val="0"/>
  </w:num>
  <w:num ns3:durableId="179127088" w:numId="20">
    <w:abstractNumId w:val="1"/>
  </w:num>
  <w:num ns3:durableId="765348858" w:numId="21">
    <w:abstractNumId w:val="1"/>
  </w:num>
  <w:num ns3:durableId="522784037" w:numId="22">
    <w:abstractNumId w:val="1"/>
  </w:num>
  <w:num ns3:durableId="420951279" w:numId="23">
    <w:abstractNumId w:val="1"/>
  </w:num>
  <w:num ns3:durableId="1111169217" w:numId="24">
    <w:abstractNumId w:val="1"/>
  </w:num>
  <w:num ns3:durableId="250706255" w:numId="25">
    <w:abstractNumId w:val="1"/>
  </w:num>
  <w:num ns3:durableId="1093821049" w:numId="26">
    <w:abstractNumId w:val="1"/>
  </w:num>
  <w:num ns3:durableId="1723601968" w:numId="27">
    <w:abstractNumId w:val="1"/>
  </w:num>
  <w:num ns3:durableId="211425153" w:numId="28">
    <w:abstractNumId w:val="1"/>
  </w:num>
  <w:num ns3:durableId="510796475" w:numId="29">
    <w:abstractNumId w:val="1"/>
  </w:num>
  <w:num ns3:durableId="269972921" w:numId="30">
    <w:abstractNumId w:val="1"/>
  </w:num>
  <w:num ns3:durableId="2025936008" w:numId="31">
    <w:abstractNumId w:val="1"/>
  </w:num>
  <w:num ns3:durableId="493498129" w:numId="32">
    <w:abstractNumId w:val="1"/>
  </w:num>
  <w:num ns3:durableId="1781146685" w:numId="33">
    <w:abstractNumId w:val="1"/>
  </w:num>
  <w:num ns3:durableId="1685129439" w:numId="34">
    <w:abstractNumId w:val="1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8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6430"/>
    <w:rsid w:val="00010BE1"/>
    <w:rsid w:val="003F0DD1"/>
    <w:rsid w:val="00455954"/>
    <w:rsid w:val="00D0600D"/>
    <w:rsid w:val="00ED6430"/>
    <w:rsid w:val="00F65441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,"/>
  <w:listSeparator w:val=";"/>
</w:settings>
</file>

<file path=word/styles.xml><?xml version="1.0" encoding="utf-8"?>
<w:styles xmlns:ns1="http://schemas.openxmlformats.org/markup-compatibility/2006" xmlns:w="http://schemas.openxmlformats.org/wordprocessingml/2006/main" ns1:Ignorable="w14 w15 w16se w16cid w16 w16cex w16sdtdh w16sdtfl w16du">
  <w:docDefaults>
    <w:rPrDefault>
      <w:rPr>
        <w:rFonts w:asciiTheme="minorHAnsi" w:cstheme="minorBidi" w:eastAsiaTheme="minorEastAsia" w:hAnsiTheme="minorHAnsi"/>
        <w:sz w:val="36"/>
        <w:szCs w:val="36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Ttulo1" w:type="paragraph">
    <w:name w:val="heading 1"/>
    <w:basedOn w:val="Normal"/>
    <w:next w:val="Textoindependiente"/>
    <w:link w:val="Ttulo1C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tulo2" w:type="paragraph">
    <w:name w:val="heading 2"/>
    <w:basedOn w:val="Normal"/>
    <w:next w:val="Textoindependiente"/>
    <w:link w:val="Ttulo2C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6"/>
      <w:szCs w:val="36"/>
    </w:rPr>
  </w:style>
  <w:style w:styleId="Ttulo3" w:type="paragraph">
    <w:name w:val="heading 3"/>
    <w:basedOn w:val="Normal"/>
    <w:next w:val="Textoindependiente"/>
    <w:link w:val="Ttulo3C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36"/>
      <w:szCs w:val="36"/>
    </w:rPr>
  </w:style>
  <w:style w:styleId="Ttulo4" w:type="paragraph">
    <w:name w:val="heading 4"/>
    <w:basedOn w:val="Normal"/>
    <w:next w:val="Textoindependiente"/>
    <w:link w:val="Ttulo4C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tulo5" w:type="paragraph">
    <w:name w:val="heading 5"/>
    <w:basedOn w:val="Normal"/>
    <w:next w:val="Textoindependiente"/>
    <w:link w:val="Ttulo5C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tulo6" w:type="paragraph">
    <w:name w:val="heading 6"/>
    <w:basedOn w:val="Normal"/>
    <w:next w:val="Textoindependiente"/>
    <w:link w:val="Ttulo6C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tulo7" w:type="paragraph">
    <w:name w:val="heading 7"/>
    <w:basedOn w:val="Normal"/>
    <w:next w:val="Textoindependiente"/>
    <w:link w:val="Ttulo7C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tulo8" w:type="paragraph">
    <w:name w:val="heading 8"/>
    <w:basedOn w:val="Normal"/>
    <w:next w:val="Textoindependiente"/>
    <w:link w:val="Ttulo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tulo9" w:type="paragraph">
    <w:name w:val="heading 9"/>
    <w:basedOn w:val="Normal"/>
    <w:next w:val="Textoindependiente"/>
    <w:link w:val="Ttulo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Fuentedeprrafopredeter" w:type="character">
    <w:name w:val="Default Paragraph Font"/>
    <w:uiPriority w:val="1"/>
    <w:semiHidden/>
    <w:unhideWhenUsed/>
  </w:style>
  <w:style w:default="1" w:styleId="Tab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inlista" w:type="numbering">
    <w:name w:val="No List"/>
    <w:uiPriority w:val="99"/>
    <w:semiHidden/>
    <w:unhideWhenUsed/>
  </w:style>
  <w:style w:styleId="Textoindependiente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Textoindependiente"/>
    <w:next w:val="Textoindependiente"/>
    <w:qFormat/>
  </w:style>
  <w:style w:customStyle="1" w:styleId="Compact" w:type="paragraph">
    <w:name w:val="Compact"/>
    <w:basedOn w:val="Textoindependiente"/>
    <w:qFormat/>
    <w:pPr>
      <w:spacing w:after="36" w:before="36"/>
    </w:pPr>
  </w:style>
  <w:style w:styleId="Ttulo" w:type="paragraph">
    <w:name w:val="Title"/>
    <w:basedOn w:val="Normal"/>
    <w:next w:val="Textoindependiente"/>
    <w:link w:val="TtuloC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tuloCar" w:type="character">
    <w:name w:val="Título Car"/>
    <w:basedOn w:val="Fuentedeprrafopredeter"/>
    <w:link w:val="Ttulo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tulo" w:type="paragraph">
    <w:name w:val="Subtitle"/>
    <w:basedOn w:val="Ttulo"/>
    <w:next w:val="Textoindependiente"/>
    <w:link w:val="SubttuloCar"/>
    <w:uiPriority w:val="11"/>
    <w:qFormat/>
    <w:rsid w:val="00A10FD9"/>
    <w:pPr>
      <w:numPr>
        <w:ilvl w:val="1"/>
      </w:numPr>
    </w:pPr>
    <w:rPr>
      <w:spacing w:val="15"/>
      <w:sz w:val="36"/>
      <w:szCs w:val="36"/>
    </w:rPr>
  </w:style>
  <w:style w:customStyle="1" w:styleId="SubttuloCar" w:type="character">
    <w:name w:val="Subtítulo Car"/>
    <w:basedOn w:val="Fuentedeprrafopredeter"/>
    <w:link w:val="Subttulo"/>
    <w:uiPriority w:val="11"/>
    <w:rsid w:val="00A10FD9"/>
    <w:rPr>
      <w:rFonts w:cstheme="majorBidi" w:eastAsiaTheme="majorEastAsia"/>
      <w:color w:themeColor="text1" w:themeTint="A6" w:val="595959"/>
      <w:spacing w:val="15"/>
      <w:sz w:val="36"/>
      <w:szCs w:val="36"/>
    </w:rPr>
  </w:style>
  <w:style w:customStyle="1" w:styleId="Author" w:type="paragraph">
    <w:name w:val="Author"/>
    <w:basedOn w:val="Ttulo"/>
    <w:next w:val="Textoindependiente"/>
    <w:qFormat/>
    <w:pPr>
      <w:keepNext/>
      <w:keepLines/>
    </w:pPr>
    <w:rPr>
      <w:sz w:val="36"/>
      <w:szCs w:val="36"/>
    </w:rPr>
  </w:style>
  <w:style w:styleId="Fecha" w:type="paragraph">
    <w:name w:val="Date"/>
    <w:basedOn w:val="Ttulo"/>
    <w:next w:val="Textoindependiente"/>
    <w:qFormat/>
    <w:pPr>
      <w:keepNext/>
      <w:keepLines/>
    </w:pPr>
    <w:rPr>
      <w:sz w:val="36"/>
      <w:szCs w:val="36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36"/>
      <w:szCs w:val="36"/>
    </w:rPr>
  </w:style>
  <w:style w:customStyle="1" w:styleId="Abstract" w:type="paragraph">
    <w:name w:val="Abstract"/>
    <w:basedOn w:val="Normal"/>
    <w:next w:val="Textoindependiente"/>
    <w:qFormat/>
    <w:pPr>
      <w:keepNext/>
      <w:keepLines/>
      <w:spacing w:after="300" w:before="100"/>
    </w:pPr>
    <w:rPr>
      <w:sz w:val="36"/>
      <w:szCs w:val="36"/>
    </w:rPr>
  </w:style>
  <w:style w:styleId="Bibliografa" w:type="paragraph">
    <w:name w:val="Bibliography"/>
    <w:basedOn w:val="Normal"/>
    <w:qFormat/>
  </w:style>
  <w:style w:customStyle="1" w:styleId="Ttulo1Car" w:type="character">
    <w:name w:val="Título 1 Car"/>
    <w:basedOn w:val="Fuentedeprrafopredeter"/>
    <w:link w:val="Ttulo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tulo2Car" w:type="character">
    <w:name w:val="Título 2 Car"/>
    <w:basedOn w:val="Fuentedeprrafopredeter"/>
    <w:link w:val="Ttulo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6"/>
      <w:szCs w:val="36"/>
    </w:rPr>
  </w:style>
  <w:style w:customStyle="1" w:styleId="Ttulo3Car" w:type="character">
    <w:name w:val="Título 3 Car"/>
    <w:basedOn w:val="Fuentedeprrafopredeter"/>
    <w:link w:val="Ttulo3"/>
    <w:uiPriority w:val="9"/>
    <w:semiHidden/>
    <w:rsid w:val="00A10FD9"/>
    <w:rPr>
      <w:rFonts w:cstheme="majorBidi" w:eastAsiaTheme="majorEastAsia"/>
      <w:color w:themeColor="accent1" w:themeShade="BF" w:val="0F4761"/>
      <w:sz w:val="36"/>
      <w:szCs w:val="36"/>
    </w:rPr>
  </w:style>
  <w:style w:customStyle="1" w:styleId="Ttulo4Car" w:type="character">
    <w:name w:val="Título 4 Car"/>
    <w:basedOn w:val="Fuentedeprrafopredeter"/>
    <w:link w:val="Ttulo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Ttulo5Car" w:type="character">
    <w:name w:val="Título 5 Car"/>
    <w:basedOn w:val="Fuentedeprrafopredeter"/>
    <w:link w:val="Ttulo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Ttulo6Car" w:type="character">
    <w:name w:val="Título 6 Car"/>
    <w:basedOn w:val="Fuentedeprrafopredeter"/>
    <w:link w:val="Ttulo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Ttulo7Car" w:type="character">
    <w:name w:val="Título 7 Car"/>
    <w:basedOn w:val="Fuentedeprrafopredeter"/>
    <w:link w:val="Ttulo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Ttulo8Car" w:type="character">
    <w:name w:val="Título 8 Car"/>
    <w:basedOn w:val="Fuentedeprrafopredeter"/>
    <w:link w:val="Ttulo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Ttulo9Car" w:type="character">
    <w:name w:val="Título 9 Car"/>
    <w:basedOn w:val="Fuentedeprrafopredeter"/>
    <w:link w:val="Ttulo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Textodebloque" w:type="paragraph">
    <w:name w:val="Block Text"/>
    <w:basedOn w:val="Textoindependiente"/>
    <w:next w:val="Textoindependiente"/>
    <w:uiPriority w:val="9"/>
    <w:unhideWhenUsed/>
    <w:qFormat/>
    <w:pPr>
      <w:spacing w:after="100" w:before="100"/>
      <w:ind w:left="480" w:right="480"/>
    </w:pPr>
  </w:style>
  <w:style w:styleId="Textonotapie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Textonotapie"/>
    <w:next w:val="Textonotapie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Descripcin" w:type="paragraph">
    <w:name w:val="caption"/>
    <w:basedOn w:val="Normal"/>
    <w:link w:val="DescripcinCar"/>
    <w:pPr>
      <w:spacing w:after="120"/>
    </w:pPr>
    <w:rPr>
      <w:i/>
    </w:rPr>
  </w:style>
  <w:style w:customStyle="1" w:styleId="TableCaption" w:type="paragraph">
    <w:name w:val="Table Caption"/>
    <w:basedOn w:val="Descripcin"/>
    <w:pPr>
      <w:keepNext/>
    </w:pPr>
  </w:style>
  <w:style w:customStyle="1" w:styleId="ImageCaption" w:type="paragraph">
    <w:name w:val="Image Caption"/>
    <w:basedOn w:val="Descripci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DescripcinCar" w:type="character">
    <w:name w:val="Descripción Car"/>
    <w:basedOn w:val="Fuentedeprrafopredeter"/>
    <w:link w:val="Descripcin"/>
  </w:style>
  <w:style w:customStyle="1" w:styleId="VerbatimChar" w:type="character">
    <w:name w:val="Verbatim Char"/>
    <w:basedOn w:val="DescripcinCar"/>
    <w:link w:val="SourceCode"/>
    <w:rPr>
      <w:rFonts w:ascii="Consolas" w:hAnsi="Consolas"/>
      <w:sz w:val="36"/>
    </w:rPr>
  </w:style>
  <w:style w:customStyle="1" w:styleId="SectionNumber" w:type="character">
    <w:name w:val="Section Number"/>
    <w:basedOn w:val="DescripcinCar"/>
  </w:style>
  <w:style w:styleId="Refdenotaalpie" w:type="character">
    <w:name w:val="footnote reference"/>
    <w:basedOn w:val="DescripcinCar"/>
    <w:rPr>
      <w:vertAlign w:val="superscript"/>
    </w:rPr>
  </w:style>
  <w:style w:styleId="Hipervnculo" w:type="character">
    <w:name w:val="Hyperlink"/>
    <w:basedOn w:val="DescripcinCar"/>
    <w:rPr>
      <w:color w:themeColor="accent1" w:val="156082"/>
    </w:rPr>
  </w:style>
  <w:style w:styleId="TtuloTDC" w:type="paragraph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36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36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36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36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36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36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36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36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36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36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36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36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36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36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36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36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36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36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36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36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36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36"/>
    </w:rPr>
  </w:style>
  <w:style w:customStyle="1" w:styleId="ExtensionTok" w:type="character">
    <w:name w:val="ExtensionTok"/>
    <w:basedOn w:val="VerbatimChar"/>
    <w:rPr>
      <w:rFonts w:ascii="Consolas" w:hAnsi="Consolas"/>
      <w:sz w:val="36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36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36"/>
    </w:rPr>
  </w:style>
  <w:style w:customStyle="1" w:styleId="RegionMarkerTok" w:type="character">
    <w:name w:val="RegionMarkerTok"/>
    <w:basedOn w:val="VerbatimChar"/>
    <w:rPr>
      <w:rFonts w:ascii="Consolas" w:hAnsi="Consolas"/>
      <w:sz w:val="36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36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36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36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36"/>
    </w:rPr>
  </w:style>
  <w:style w:customStyle="1" w:styleId="NormalTok" w:type="character">
    <w:name w:val="NormalTok"/>
    <w:basedOn w:val="VerbatimChar"/>
    <w:rPr>
      <w:rFonts w:ascii="Consolas" w:hAnsi="Consolas"/>
      <w:sz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24</Pages>
  <Words>3625</Words>
  <Characters>19942</Characters>
  <Application>Microsoft Office Word</Application>
  <DocSecurity>0</DocSecurity>
  <Lines>166</Lines>
  <Paragraphs>47</Paragraphs>
  <ScaleCrop>false</ScaleCrop>
  <Company/>
  <LinksUpToDate>false</LinksUpToDate>
  <CharactersWithSpaces>23520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2026-07-12T11:11:49Z</dcterms:created>
  <dcterms:modified xsi:type="dcterms:W3CDTF">2026-07-12T11:11:49Z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