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18:15-19:00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contracte tècnic o el format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el mateix que en el cas administratiu. Allà, el procediment necessita informació patrimonial, no una tecnologia concreta. Aquí, el cas d’ús necessita un preu actual, no un proveïdor de dades ni una API concreta.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fe34694493a278887e7fb2931a3633f2064d60d"/>
    <w:p>
      <w:pPr>
        <w:pStyle w:val="Heading3"/>
      </w:pPr>
      <w:r>
        <w:t xml:space="preserve">Diapositiva 10. Flux i codi essencial - 1:25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la cartera mitjançant un port de persistència, consulta el preu mitjançant el port de preus, i després crida el domini amb l’acció, la quantitat i el preu. [pausa breu]</w:t>
      </w:r>
    </w:p>
    <w:p>
      <w:pPr>
        <w:pStyle w:val="BodyText"/>
      </w:pPr>
      <w:r>
        <w:t xml:space="preserve">La separació de responsabilitats és molt important. En aquesta implementació, el servei coordina, el port expressa una necessitat, l’adaptador integra amb la infraestructura i la decisió de domini es manté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050"/>
    <w:p>
      <w:pPr>
        <w:pStyle w:val="Heading3"/>
      </w:pPr>
      <w:r>
        <w:t xml:space="preserve">Diapositiva 11. Agraïment - 0:50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 plataformes corporatives, proveïdors externs i mecanismes d’integració. El que fa l’arquitectura hexagonal és situar aquesta dependència en una frontera explícita i controlable.</w:t>
      </w:r>
    </w:p>
    <w:p>
      <w:pPr>
        <w:pStyle w:val="BodyText"/>
      </w:pPr>
      <w:r>
        <w:t xml:space="preserve">Quan canvia un proveïdor, una API o una tecnologia, volem localitzar l’impacte a l’adaptador. No volem reescriure el cas d’ús ni deformar el model de domini. [pausa]</w:t>
      </w:r>
    </w:p>
    <w:p>
      <w:pPr>
        <w:pStyle w:val="BodyText"/>
      </w:pPr>
      <w:r>
        <w:t xml:space="preserve">Vull expressar el meu agraïment al TecnoCampus per aquest entorn docent i acadèmic, i al Dr. Josep Roure pel treball compartit en arquitectura de software i metodologies actives.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Transició: concretar-ho en el flux de HexaStock.</w:t>
      </w:r>
    </w:p>
    <w:bookmarkEnd w:id="31"/>
    <w:bookmarkStart w:id="32" w:name="flux-i-codi---125"/>
    <w:p>
      <w:pPr>
        <w:pStyle w:val="Heading3"/>
      </w:pPr>
      <w:r>
        <w:t xml:space="preserve">10. Flux i codi - 1:25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en aquesta implementació, el servei coordina, el domini decideix i l’adaptador integra.</w:t>
      </w:r>
    </w:p>
    <w:p>
      <w:pPr>
        <w:pStyle w:val="Compact"/>
        <w:numPr>
          <w:ilvl w:val="0"/>
          <w:numId w:val="1011"/>
        </w:numPr>
      </w:pPr>
      <w:r>
        <w:t xml:space="preserve">Transició: conclusió i agraïment.</w:t>
      </w:r>
    </w:p>
    <w:bookmarkEnd w:id="32"/>
    <w:bookmarkStart w:id="33" w:name="agraïment---050"/>
    <w:p>
      <w:pPr>
        <w:pStyle w:val="Heading3"/>
      </w:pPr>
      <w:r>
        <w:t xml:space="preserve">11. Agraïment - 0:50</w:t>
      </w:r>
    </w:p>
    <w:p>
      <w:pPr>
        <w:pStyle w:val="Compact"/>
        <w:numPr>
          <w:ilvl w:val="0"/>
          <w:numId w:val="1012"/>
        </w:numPr>
      </w:pPr>
      <w:r>
        <w:t xml:space="preserve">Arquitectura no elimina la dependència externa; la situa en una frontera explícita i controlable.</w:t>
      </w:r>
    </w:p>
    <w:p>
      <w:pPr>
        <w:pStyle w:val="Compact"/>
        <w:numPr>
          <w:ilvl w:val="0"/>
          <w:numId w:val="1012"/>
        </w:numPr>
      </w:pPr>
      <w:r>
        <w:t xml:space="preserve">Canviar adaptador, no cas d’ús ni domini.</w:t>
      </w:r>
    </w:p>
    <w:p>
      <w:pPr>
        <w:pStyle w:val="Compact"/>
        <w:numPr>
          <w:ilvl w:val="0"/>
          <w:numId w:val="1012"/>
        </w:numPr>
      </w:pPr>
      <w:r>
        <w:t xml:space="preserve">Agraïment breu al TecnoCampus i al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19 minuts, retalla detall de les diapositives 5, 8 o 9. Si surt per sota de 18:15,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tècnica;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2026-07-12T11:11:40Z</dcterms:created>
  <dcterms:modified xsi:type="dcterms:W3CDTF">2026-07-12T11:11:40Z</dcterms:modified>
</cp:coreProperties>
</file>

<file path=docProps/custom.xml><?xml version="1.0" encoding="utf-8"?>
<Properties xmlns="http://schemas.openxmlformats.org/officeDocument/2006/custom-properties" xmlns:vt="http://schemas.openxmlformats.org/officeDocument/2006/docPropsVTypes"/>
</file>