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3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 Després del tancament hi ha una diapositiva d’annex,</w:t>
      </w:r>
      <w:r>
        <w:t xml:space="preserve"> </w:t>
      </w:r>
      <w:r>
        <w:rPr>
          <w:rStyle w:val="VerbatimChar"/>
        </w:rPr>
        <w:t xml:space="preserve">Annex A. Contrast d'orientació curricular</w:t>
      </w:r>
      <w:r>
        <w:t xml:space="preserve">, que no forma part de la numeració 1-6 ni del temps principal: és material de reserva exclusiu per al torn de preguntes.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9:50-10:10 aproximadament, amb pauses reals. Si l’assaig supera els 10:00, aplica la versió curta d’emergència de la diapositiva 4.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La meva trajectòria comença el 2004 i té un fil conductor: l’enginyeria del software. Primer, com a enginyer a la indústria. Després, com a professor universitari. I avui, també com a investigador: estudio com s’ensenya l’enginyeria del software. [pausa breu]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28ec358c6470ee361dd2550a98450420d78bfa6"/>
    <w:p>
      <w:pPr>
        <w:pStyle w:val="Heading3"/>
      </w:pPr>
      <w:r>
        <w:t xml:space="preserve">Diapositiva 2. Primera etapa: enginyeria del software i consultoria - 1:50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desenvolupada a baix nivell en C++, amb restriccions fortes de memòria, CPU i xarxa. La feina tenia un caràcter molt proper a l’R+D de laboratori: treballàvem sobre la pila de comunicacions IP, amb senyalització SIP, transport de veu mitjançant RTP sobre UDP i còdecs com l’AMR. El component es va presentar en entorns com el 3GSM / Mobile World Congress i estava vinculat al context d’innovació d’una patent de Vida Software sobre interfícies d’usuari.</w:t>
      </w:r>
    </w:p>
    <w:p>
      <w:pPr>
        <w:pStyle w:val="BodyText"/>
      </w:pPr>
      <w:r>
        <w:t xml:space="preserve">Va ser una etapa tècnicament molt exigent i estimulant, que em va donar una base sòlida en sistemes i comunicacions. Al mateix temps, em va ajudar a identificar una altra dimensió que volia desenvolupar: el treball amb les persones, la comunicació i la construcció compartida de coneixement. Per tant, el pas a la consultoria no va representar una renúncia a la profunditat tècnica, sinó la voluntat d’ampliar-la amb una dimensió més relacional i col·laborativa, que amb el temps ha esdevingut un fil conductor de la meva trajectòria.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fer mentoria a enginyers júniors.</w:t>
      </w:r>
    </w:p>
    <w:p>
      <w:pPr>
        <w:pStyle w:val="BodyText"/>
      </w:pPr>
      <w:r>
        <w:t xml:space="preserve">Mirat amb perspectiva, la combinació de solvència tècnica, comunicació i acompanyament va acabar definint el meu perfil professional.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allò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1f0d1a81b8dc9d315c00b42224fa0d18f0492d2"/>
    <w:p>
      <w:pPr>
        <w:pStyle w:val="Heading3"/>
      </w:pPr>
      <w:r>
        <w:t xml:space="preserve">Diapositiva 4. La Salle i el pont cap al TecnoCampus - 1:55</w:t>
      </w:r>
    </w:p>
    <w:p>
      <w:pPr>
        <w:pStyle w:val="FirstParagraph"/>
      </w:pPr>
      <w:r>
        <w:t xml:space="preserve">Em vaig incorporar a La Salle, un entorn universitari d’alt nivell tècnic.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[pausa breu]</w:t>
      </w:r>
    </w:p>
    <w:p>
      <w:pPr>
        <w:pStyle w:val="BodyText"/>
      </w:pPr>
      <w:r>
        <w:t xml:space="preserve">La Salle té una tradició d’enginyeria sòlida, amb una identitat històrica molt forta en telecomunicacions, xarxes i electrònica. La meva docència allà se centrava en els fonaments: el disseny i la programació orientats a objectes, i el desenvolupament d’aplicacions mòbils. Són la llavor de l’enginyeria del software, i em va agradar molt ensenyar-los. Però el meu territori professional és el tram següent d’aquest mateix camí: l’arquitectura de software, el backend empresarial i els sistemes d’informació. [mirada al tribunal]</w:t>
      </w:r>
    </w:p>
    <w:p>
      <w:pPr>
        <w:pStyle w:val="BodyText"/>
      </w:pPr>
      <w:r>
        <w:t xml:space="preserve">I aquest tram tenia un encaix curricular directe al TecnoCampus: el grau porta la gestió i els sistemes d’informació al seu propi nom, amb una línia completa d’enginyeria del software i de disseny de sistemes d’informació. Era l’espai natural on la meva especialització podia créixer com a docència universitària.</w:t>
      </w:r>
    </w:p>
    <w:p>
      <w:pPr>
        <w:pStyle w:val="BodyText"/>
      </w:pPr>
      <w:r>
        <w:t xml:space="preserve">La proximitat geogràfica va reforçar la decisió, perquè feia la trajectòria acadèmica sostenible i compatible amb les responsabilitats familiars.</w:t>
      </w:r>
    </w:p>
    <w:p>
      <w:pPr>
        <w:pStyle w:val="BodyText"/>
      </w:pPr>
      <w:r>
        <w:t xml:space="preserve">Vaig establir contacte acadèmic amb el TecnoCampus i vaig començar-hi com a professor associat. I des del primer moment vaig percebre que hi podien confluir camins que fins aleshores havien avançat separats: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 universitat i empresa.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17" w:name="Xdd17a7567f75bc85227116ec496a3da3b46265c"/>
    <w:p>
      <w:pPr>
        <w:pStyle w:val="Heading2"/>
      </w:pPr>
      <w:r>
        <w:t xml:space="preserve">Annex A. Contrast d’orientació curricular (només per al torn de preguntes)</w:t>
      </w:r>
    </w:p>
    <w:p>
      <w:pPr>
        <w:pStyle w:val="FirstParagraph"/>
      </w:pPr>
      <w:r>
        <w:t xml:space="preserve">Aquest annex no forma part del cos principal de deu minuts ni de la numeració 1-6. Només s’ha de mostrar si el tribunal pregunta pel pas de La Salle al TecnoCampus, qüestiona l’encaix acadèmic o demana concretar la diferència d’orientació entre les titulacions. No s’ha de mostrar sense una pregunta o una necessitat clara, ni utilitzar-lo com a defensa preventiva.</w:t>
      </w:r>
    </w:p>
    <w:bookmarkStart w:id="16" w:name="resposta-oral-de-reserva---30-45-segons"/>
    <w:p>
      <w:pPr>
        <w:pStyle w:val="Heading3"/>
      </w:pPr>
      <w:r>
        <w:t xml:space="preserve">Resposta oral de reserva - 30-45 segons</w:t>
      </w:r>
    </w:p>
    <w:p>
      <w:pPr>
        <w:pStyle w:val="FirstParagraph"/>
      </w:pPr>
      <w:r>
        <w:t xml:space="preserve">El canvi no va respondre a una valoració jeràrquica entre institucions. La Salle em va permetre entrar en la docència universitària dins d’un entorn d’enginyeria molt sòlid, i hi vaig impartir assignatures directament vinculades a la informàtica i al software.</w:t>
      </w:r>
    </w:p>
    <w:p>
      <w:pPr>
        <w:pStyle w:val="BodyText"/>
      </w:pPr>
      <w:r>
        <w:t xml:space="preserve">El contrast entre els plans mostra, però, orientacions curriculars diferents. La Salle manté un pes més marcat en telecomunicacions, electrònica, hardware i xarxes, coherent amb la seva tradició històrica. El grau del TecnoCampus concentra de manera més explícita l’Enginyeria del Software i els Sistemes d’Informació.</w:t>
      </w:r>
    </w:p>
    <w:p>
      <w:pPr>
        <w:pStyle w:val="BodyText"/>
      </w:pPr>
      <w:r>
        <w:t xml:space="preserve">Per això vaig considerar que la meva experiència professional en arquitectura de software, backend, Java i sistemes d’informació podia tenir-hi un encaix més directe. No es tracta que una institució sigui millor que l’altra, sinó d’una major alineació entre especialització professional i projecte acadèmic.</w:t>
      </w:r>
    </w:p>
    <w:p>
      <w:pPr>
        <w:pStyle w:val="BodyText"/>
      </w:pPr>
      <w:r>
        <w:t xml:space="preserve">Quan es mostri l’annex, no llegir tota la taula: assenyalar una diferència d’Enginyeria del Software o Sistemes d’Informació, una de hardware o xarxes, i concloure amb l’encaix acadèmic.</w:t>
      </w:r>
    </w:p>
    <w:p>
      <w:r>
        <w:pict>
          <ns1:rect style="width:0;height:1.5pt" ns2:hralign="center" ns2:hrstd="t" ns2:hr="t"/>
        </w:pict>
      </w:r>
    </w:p>
    <w:bookmarkEnd w:id="16"/>
    <w:bookmarkEnd w:id="17"/>
    <w:bookmarkStart w:id="25" w:name="notes-del-presentador-per-diapositiva"/>
    <w:p>
      <w:pPr>
        <w:pStyle w:val="Heading2"/>
      </w:pPr>
      <w:r>
        <w:t xml:space="preserve">2. Notes del presentador per diapositiva</w:t>
      </w:r>
    </w:p>
    <w:bookmarkStart w:id="18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un sol fil conductor: enginyer a la indústria, professor universitari, investigador en com s’ensenya l’enginyeria del software.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8"/>
    <w:bookmarkStart w:id="19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9"/>
    <w:bookmarkStart w:id="20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20"/>
    <w:bookmarkStart w:id="21" w:name="la-salle-i-pont-cap-al-tecnocampus---155"/>
    <w:p>
      <w:pPr>
        <w:pStyle w:val="Heading3"/>
      </w:pPr>
      <w:r>
        <w:t xml:space="preserve">4. La Salle i pont cap al TecnoCampus - 1:55</w:t>
      </w:r>
    </w:p>
    <w:p>
      <w:pPr>
        <w:pStyle w:val="Compact"/>
        <w:numPr>
          <w:ilvl w:val="0"/>
          <w:numId w:val="1006"/>
        </w:numPr>
      </w:pPr>
      <w:r>
        <w:t xml:space="preserve">La Salle: incorporació a un entorn universitari d’alt nivell tècnic.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Fonaments a La Salle: disseny i programació orientats a objectes i aplicacions mòbils; la llavor de l’enginyeria del software.</w:t>
      </w:r>
    </w:p>
    <w:p>
      <w:pPr>
        <w:pStyle w:val="Compact"/>
        <w:numPr>
          <w:ilvl w:val="0"/>
          <w:numId w:val="1006"/>
        </w:numPr>
      </w:pPr>
      <w:r>
        <w:t xml:space="preserve">Territori professional propi: arquitectura de software, backend empresarial i sistemes d’informació; el tram següent del mateix camí.</w:t>
      </w:r>
    </w:p>
    <w:p>
      <w:pPr>
        <w:pStyle w:val="Compact"/>
        <w:numPr>
          <w:ilvl w:val="0"/>
          <w:numId w:val="1006"/>
        </w:numPr>
      </w:pPr>
      <w:r>
        <w:t xml:space="preserve">Encaix curricular al TecnoCampus: el grau porta la gestió i els sistemes d’informació al seu propi nom.</w:t>
      </w:r>
    </w:p>
    <w:p>
      <w:pPr>
        <w:pStyle w:val="Compact"/>
        <w:numPr>
          <w:ilvl w:val="0"/>
          <w:numId w:val="1006"/>
        </w:numPr>
      </w:pPr>
      <w:r>
        <w:t xml:space="preserve">No esmentar persones concretes; el contacte acadèmic es formula en genèric.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21"/>
    <w:bookmarkStart w:id="22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2"/>
    <w:bookmarkStart w:id="23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bookmarkEnd w:id="23"/>
    <w:bookmarkStart w:id="24" w:name="Xed3256c23068a18527438c32113db4e0c20a1ed"/>
    <w:p>
      <w:pPr>
        <w:pStyle w:val="Heading3"/>
      </w:pPr>
      <w:r>
        <w:t xml:space="preserve">Annex A. Contrast d’orientació curricular - només si el tribunal pregunta</w:t>
      </w:r>
    </w:p>
    <w:p>
      <w:pPr>
        <w:pStyle w:val="Compact"/>
        <w:numPr>
          <w:ilvl w:val="0"/>
          <w:numId w:val="1009"/>
        </w:numPr>
      </w:pPr>
      <w:r>
        <w:t xml:space="preserve">Fora dels deu minuts i de la numeració 1-6; no mostrar sense pregunta o necessitat clara.</w:t>
      </w:r>
    </w:p>
    <w:p>
      <w:pPr>
        <w:pStyle w:val="Compact"/>
        <w:numPr>
          <w:ilvl w:val="0"/>
          <w:numId w:val="1009"/>
        </w:numPr>
      </w:pPr>
      <w:r>
        <w:t xml:space="preserve">Missatge: diferències d’èmfasi i d’orientació curricular, mai de qualitat ni de jerarquia entre institucions.</w:t>
      </w:r>
    </w:p>
    <w:p>
      <w:pPr>
        <w:pStyle w:val="Compact"/>
        <w:numPr>
          <w:ilvl w:val="0"/>
          <w:numId w:val="1009"/>
        </w:numPr>
      </w:pPr>
      <w:r>
        <w:t xml:space="preserve">Taula: Enginyeria del Software, Sistemes d’Informació i arquitectura, electrònica i hardware, xarxes i telecomunicacions, identitat del grau.</w:t>
      </w:r>
    </w:p>
    <w:p>
      <w:pPr>
        <w:pStyle w:val="Compact"/>
        <w:numPr>
          <w:ilvl w:val="0"/>
          <w:numId w:val="1009"/>
        </w:numPr>
      </w:pPr>
      <w:r>
        <w:t xml:space="preserve">Sense noms de persones ni relacions personals; justificació estrictament acadèmica, curricular i institucional.</w:t>
      </w:r>
    </w:p>
    <w:p>
      <w:pPr>
        <w:pStyle w:val="Compact"/>
        <w:numPr>
          <w:ilvl w:val="0"/>
          <w:numId w:val="1009"/>
        </w:numPr>
      </w:pPr>
      <w:r>
        <w:t xml:space="preserve">Fonts (consulta: 13 de juliol de 2026): pla d’estudis del Grau en Enginyeria Informàtica de La Salle URL (https://www.salleurl.edu/ca/estudis/grau-en-enginyeria-informatica/pla-estudis) i Grau en Enginyeria Informàtica de Gestió i Sistemes d’Informació del TecnoCampus (https://www.tecnocampus.cat/grau/grau-en-enginyeria-informatica-de-gestio-i-sistemes-dinformacio).</w:t>
      </w:r>
    </w:p>
    <w:p>
      <w:pPr>
        <w:pStyle w:val="Compact"/>
        <w:numPr>
          <w:ilvl w:val="0"/>
          <w:numId w:val="1009"/>
        </w:numPr>
      </w:pPr>
      <w:r>
        <w:t xml:space="preserve">Criteri: només assignatures amb nom verificat als plans vigents, amb obligatòries i optatives diferenciades; no es projecten sumes agregades d’ECTS perquè la classificació obligatòria/optativa de La Salle no va resultar estable entre consultes, i per això la diapositiva usa formulacions qualitatives.</w:t>
      </w:r>
    </w:p>
    <w:p>
      <w:pPr>
        <w:pStyle w:val="Compact"/>
        <w:numPr>
          <w:ilvl w:val="0"/>
          <w:numId w:val="1009"/>
        </w:numPr>
      </w:pPr>
      <w:r>
        <w:t xml:space="preserve">Resposta oral de reserva: vegeu la secció Annex A del guió.</w:t>
      </w:r>
    </w:p>
    <w:p>
      <w:r>
        <w:pict>
          <ns1:rect style="width:0;height:1.5pt" ns2:hralign="center" ns2:hrstd="t" ns2:hr="t"/>
        </w:pict>
      </w:r>
    </w:p>
    <w:bookmarkEnd w:id="24"/>
    <w:bookmarkEnd w:id="25"/>
    <w:bookmarkStart w:id="26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sol fil conductor</w:t>
            </w:r>
          </w:p>
        </w:tc>
        <w:tc>
          <w:tcPr/>
          <w:p>
            <w:pPr>
              <w:pStyle w:val="Compact"/>
            </w:pPr>
            <w:r>
              <w:t xml:space="preserve">2004, enginyer, professor, investigador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dona els fonaments; el TecnoCampus, l’encaix curricular</w:t>
            </w:r>
          </w:p>
        </w:tc>
        <w:tc>
          <w:tcPr/>
          <w:p>
            <w:pPr>
              <w:pStyle w:val="Compact"/>
            </w:pPr>
            <w:r>
              <w:t xml:space="preserve">La Salle, fonaments, llavor, tram següent, encaix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Annex A</w:t>
            </w:r>
          </w:p>
        </w:tc>
        <w:tc>
          <w:tcPr/>
          <w:p>
            <w:pPr>
              <w:pStyle w:val="Compact"/>
            </w:pPr>
            <w:r>
              <w:t xml:space="preserve">Diferències d’èmfasi curricular, no de qualitat (només preguntes)</w:t>
            </w:r>
          </w:p>
        </w:tc>
        <w:tc>
          <w:tcPr/>
          <w:p>
            <w:pPr>
              <w:pStyle w:val="Compact"/>
            </w:pPr>
            <w:r>
              <w:t xml:space="preserve">encaix, orientació, fonts oficials</w:t>
            </w:r>
          </w:p>
        </w:tc>
        <w:tc>
          <w:tcPr/>
          <w:p>
            <w:pPr>
              <w:pStyle w:val="Compact"/>
            </w:pPr>
            <w:r>
              <w:t xml:space="preserve">Fora dels 10 min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6"/>
    <w:bookmarkStart w:id="32" w:name="recomanacions-dassaig-ritme-veu-i-cos"/>
    <w:p>
      <w:pPr>
        <w:pStyle w:val="Heading2"/>
      </w:pPr>
      <w:r>
        <w:t xml:space="preserve">4. Recomanacions d’assaig, ritme, veu i cos</w:t>
      </w:r>
    </w:p>
    <w:bookmarkStart w:id="27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7"/>
    <w:bookmarkStart w:id="28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8"/>
    <w:bookmarkStart w:id="29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9"/>
    <w:bookmarkStart w:id="30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10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10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10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10"/>
        </w:numPr>
      </w:pPr>
      <w:r>
        <w:t xml:space="preserve">Diapositiva 4: encaix curricular com a motiu principal (fonaments a La Salle, tram següent al TecnoCampus); conciliació només com a sostenibilitat complementària; cap menció de persones concretes.</w:t>
      </w:r>
    </w:p>
    <w:p>
      <w:pPr>
        <w:pStyle w:val="Compact"/>
        <w:numPr>
          <w:ilvl w:val="0"/>
          <w:numId w:val="1010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10"/>
        </w:numPr>
      </w:pPr>
      <w:r>
        <w:t xml:space="preserve">Diapositiva 6: recerca com a Educació en Enginyeria del Software; tancar amb seguretat i enllaçar amb la classe magistral.</w:t>
      </w:r>
    </w:p>
    <w:bookmarkEnd w:id="30"/>
    <w:bookmarkStart w:id="31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1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1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4, si encara vas tard, redueix el bloc d’encaix a</w:t>
      </w:r>
      <w:r>
        <w:t xml:space="preserve"> </w:t>
      </w:r>
      <w:r>
        <w:rPr>
          <w:rStyle w:val="VerbatimChar"/>
        </w:rPr>
        <w:t xml:space="preserve">la meva especialització tenia un encaix curricular directe al TecnoCampus</w:t>
      </w:r>
      <w:r>
        <w:t xml:space="preserve"> </w:t>
      </w:r>
      <w:r>
        <w:t xml:space="preserve">i elimina</w:t>
      </w:r>
      <w:r>
        <w:t xml:space="preserve"> </w:t>
      </w:r>
      <w:r>
        <w:rPr>
          <w:rStyle w:val="VerbatimChar"/>
        </w:rPr>
        <w:t xml:space="preserve">i em va agradar molt ensenyar-los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31"/>
    <w:bookmarkEnd w:id="32"/>
    <w:bookmarkEnd w:id="33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2026-07-13T19:44:31Z</dcterms:created>
  <dcterms:modified xsi:type="dcterms:W3CDTF">2026-07-13T19:44:31Z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