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left"/>
      </w:pPr>
      <w:r>
        <w:rPr>
          <w:rFonts w:ascii="Aptos Display" w:hAnsi="Aptos Display"/>
          <w:b/>
          <w:color w:val="12365A"/>
          <w:sz w:val="64"/>
        </w:rPr>
        <w:t>CHATBOT CIMA</w:t>
      </w:r>
    </w:p>
    <w:p>
      <w:pPr>
        <w:spacing w:after="320"/>
      </w:pPr>
      <w:r>
        <w:rPr>
          <w:b/>
          <w:color w:val="0F8B8D"/>
          <w:sz w:val="24"/>
        </w:rPr>
        <w:t>FASE II  /  MANUAL DE DESPLIEGUE</w:t>
      </w:r>
    </w:p>
    <w:p>
      <w:pPr>
        <w:spacing w:after="560"/>
      </w:pPr>
      <w:r>
        <w:rPr>
          <w:color w:val="5B6573"/>
          <w:sz w:val="32"/>
        </w:rPr>
        <w:t>Procedimiento remoto para publicar, verificar, actualizar y reactivar CHATBOT CIMA mediante GitHub, Docker y Render.</w:t>
      </w:r>
    </w:p>
    <w:tbl>
      <w:tblPr>
        <w:tblW w:type="auto" w:w="0"/>
        <w:jc w:val="left"/>
        <w:tblLayout w:type="fixed"/>
        <w:tblLook w:firstColumn="1" w:firstRow="1" w:lastColumn="0" w:lastRow="0" w:noHBand="0" w:noVBand="1" w:val="04A0"/>
      </w:tblPr>
      <w:tblGrid>
        <w:gridCol w:w="5040"/>
        <w:gridCol w:w="5040"/>
      </w:tblGrid>
      <w:tr>
        <w:tc>
          <w:tcPr>
            <w:tcW w:type="dxa" w:w="2160"/>
            <w:tcMar>
              <w:top w:w="130" w:type="dxa"/>
              <w:start w:w="150" w:type="dxa"/>
              <w:bottom w:w="130" w:type="dxa"/>
              <w:end w:w="150" w:type="dxa"/>
            </w:tcMar>
            <w:shd w:fill="12365A"/>
          </w:tcPr>
          <w:p>
            <w:r>
              <w:rPr>
                <w:b/>
                <w:color w:val="FFFFFF"/>
                <w:sz w:val="18"/>
              </w:rPr>
              <w:t>Aplicación</w:t>
            </w:r>
          </w:p>
        </w:tc>
        <w:tc>
          <w:tcPr>
            <w:tcW w:type="dxa" w:w="8064"/>
            <w:tcMar>
              <w:top w:w="130" w:type="dxa"/>
              <w:start w:w="150" w:type="dxa"/>
              <w:bottom w:w="130" w:type="dxa"/>
              <w:end w:w="150" w:type="dxa"/>
            </w:tcMar>
            <w:shd w:fill="EAF2F8"/>
          </w:tcPr>
          <w:p>
            <w:r>
              <w:rPr>
                <w:sz w:val="19"/>
              </w:rPr>
              <w:t>CHATBOT CIMA — clasificador NLP de consultas operativas</w:t>
            </w:r>
          </w:p>
        </w:tc>
      </w:tr>
      <w:tr>
        <w:tc>
          <w:tcPr>
            <w:tcW w:type="dxa" w:w="2160"/>
            <w:tcMar>
              <w:top w:w="130" w:type="dxa"/>
              <w:start w:w="150" w:type="dxa"/>
              <w:bottom w:w="130" w:type="dxa"/>
              <w:end w:w="150" w:type="dxa"/>
            </w:tcMar>
            <w:shd w:fill="12365A"/>
          </w:tcPr>
          <w:p>
            <w:r>
              <w:rPr>
                <w:b/>
                <w:color w:val="FFFFFF"/>
                <w:sz w:val="18"/>
              </w:rPr>
              <w:t>Despliegue</w:t>
            </w:r>
          </w:p>
        </w:tc>
        <w:tc>
          <w:tcPr>
            <w:tcW w:type="dxa" w:w="8064"/>
            <w:tcMar>
              <w:top w:w="130" w:type="dxa"/>
              <w:start w:w="150" w:type="dxa"/>
              <w:bottom w:w="130" w:type="dxa"/>
              <w:end w:w="150" w:type="dxa"/>
            </w:tcMar>
            <w:shd w:fill="EAF2F8"/>
          </w:tcPr>
          <w:p>
            <w:r>
              <w:rPr>
                <w:sz w:val="19"/>
              </w:rPr>
              <w:t>Render · Docker · FastAPI</w:t>
            </w:r>
          </w:p>
        </w:tc>
      </w:tr>
      <w:tr>
        <w:tc>
          <w:tcPr>
            <w:tcW w:type="dxa" w:w="2160"/>
            <w:tcMar>
              <w:top w:w="130" w:type="dxa"/>
              <w:start w:w="150" w:type="dxa"/>
              <w:bottom w:w="130" w:type="dxa"/>
              <w:end w:w="150" w:type="dxa"/>
            </w:tcMar>
            <w:shd w:fill="12365A"/>
          </w:tcPr>
          <w:p>
            <w:r>
              <w:rPr>
                <w:b/>
                <w:color w:val="FFFFFF"/>
                <w:sz w:val="18"/>
              </w:rPr>
              <w:t>Fecha de corte</w:t>
            </w:r>
          </w:p>
        </w:tc>
        <w:tc>
          <w:tcPr>
            <w:tcW w:type="dxa" w:w="8064"/>
            <w:tcMar>
              <w:top w:w="130" w:type="dxa"/>
              <w:start w:w="150" w:type="dxa"/>
              <w:bottom w:w="130" w:type="dxa"/>
              <w:end w:w="150" w:type="dxa"/>
            </w:tcMar>
            <w:shd w:fill="EAF2F8"/>
          </w:tcPr>
          <w:p>
            <w:r>
              <w:rPr>
                <w:sz w:val="19"/>
              </w:rPr>
              <w:t>31 de octubre de 2026</w:t>
            </w:r>
          </w:p>
        </w:tc>
      </w:tr>
    </w:tbl>
    <w:p>
      <w:pPr>
        <w:spacing w:before="640"/>
      </w:pPr>
      <w:r>
        <w:rPr>
          <w:b/>
        </w:rPr>
        <w:t xml:space="preserve">URL pública: </w:t>
      </w:r>
      <w:hyperlink r:id="rId11">
        <w:r>
          <w:rPr>
            <w:color w:val="1769AA"/>
            <w:u w:val="single"/>
          </w:rPr>
          <w:t>https://chatbot-cima-fase2.onrender.com/</w:t>
        </w:r>
      </w:hyperlink>
    </w:p>
    <w:p>
      <w:hyperlink r:id="rId12">
        <w:r>
          <w:rPr>
            <w:color w:val="1769AA"/>
            <w:u w:val="single"/>
          </w:rPr>
          <w:t>https://github.com/alfredosalazar-ai/deep-learning-experiments</w:t>
        </w:r>
      </w:hyperlink>
    </w:p>
    <w:p>
      <w:r>
        <w:br w:type="page"/>
      </w:r>
    </w:p>
    <w:p>
      <w:pPr>
        <w:pStyle w:val="Heading1"/>
      </w:pPr>
      <w:r>
        <w:t>1. Objetivo</w:t>
      </w:r>
    </w:p>
    <w:p>
      <w:r>
        <w:t>Documentar el procedimiento utilizado para desplegar el prototipo CHATBOT CIMA sin instalaciones locales en el equipo del usuario. GitHub funciona como repositorio fuente; GitHub Actions ejecuta pruebas y construye el contenedor; Render construye y ejecuta el servicio web desde el Dockerfile publicado.</w:t>
      </w:r>
    </w:p>
    <w:p>
      <w:pPr>
        <w:pStyle w:val="Heading1"/>
      </w:pPr>
      <w:r>
        <w:t>2. Arquitectura de despliegue</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5040"/>
            <w:shd w:fill="12365A"/>
            <w:tcMar>
              <w:top w:w="100" w:type="dxa"/>
              <w:start w:w="100" w:type="dxa"/>
              <w:bottom w:w="100" w:type="dxa"/>
              <w:end w:w="100" w:type="dxa"/>
            </w:tcMar>
            <w:vAlign w:val="center"/>
          </w:tcPr>
          <w:p>
            <w:r>
              <w:rPr>
                <w:b/>
                <w:color w:val="FFFFFF"/>
                <w:sz w:val="17"/>
              </w:rPr>
              <w:t>Capa</w:t>
            </w:r>
          </w:p>
        </w:tc>
        <w:tc>
          <w:tcPr>
            <w:tcW w:type="dxa" w:w="5040"/>
            <w:shd w:fill="12365A"/>
            <w:tcMar>
              <w:top w:w="100" w:type="dxa"/>
              <w:start w:w="100" w:type="dxa"/>
              <w:bottom w:w="100" w:type="dxa"/>
              <w:end w:w="100" w:type="dxa"/>
            </w:tcMar>
            <w:vAlign w:val="center"/>
          </w:tcPr>
          <w:p>
            <w:r>
              <w:rPr>
                <w:b/>
                <w:color w:val="FFFFFF"/>
                <w:sz w:val="17"/>
              </w:rPr>
              <w:t>Responsabilidad</w:t>
            </w:r>
          </w:p>
        </w:tc>
      </w:tr>
      <w:tr>
        <w:trPr>
          <w:cantSplit/>
        </w:trPr>
        <w:tc>
          <w:tcPr>
            <w:tcW w:type="dxa" w:w="5040"/>
            <w:vAlign w:val="center"/>
            <w:tcMar>
              <w:top w:w="90" w:type="dxa"/>
              <w:start w:w="100" w:type="dxa"/>
              <w:bottom w:w="90" w:type="dxa"/>
              <w:end w:w="100" w:type="dxa"/>
            </w:tcMar>
            <w:shd w:fill="F2F6FA"/>
          </w:tcPr>
          <w:p>
            <w:pPr>
              <w:spacing w:after="0"/>
            </w:pPr>
            <w:r>
              <w:rPr>
                <w:b/>
                <w:sz w:val="17"/>
              </w:rPr>
              <w:t>GitHub</w:t>
            </w:r>
          </w:p>
        </w:tc>
        <w:tc>
          <w:tcPr>
            <w:tcW w:type="dxa" w:w="5040"/>
            <w:vAlign w:val="center"/>
            <w:tcMar>
              <w:top w:w="90" w:type="dxa"/>
              <w:start w:w="100" w:type="dxa"/>
              <w:bottom w:w="90" w:type="dxa"/>
              <w:end w:w="100" w:type="dxa"/>
            </w:tcMar>
            <w:shd w:fill="F2F6FA"/>
          </w:tcPr>
          <w:p>
            <w:pPr>
              <w:spacing w:after="0"/>
            </w:pPr>
            <w:r>
              <w:rPr>
                <w:sz w:val="17"/>
              </w:rPr>
              <w:t>Repositorio deep-learning-experiments, rama main, código fuente, modelo y workflow.</w:t>
            </w:r>
          </w:p>
        </w:tc>
      </w:tr>
      <w:tr>
        <w:trPr>
          <w:cantSplit/>
        </w:trPr>
        <w:tc>
          <w:tcPr>
            <w:tcW w:type="dxa" w:w="5040"/>
            <w:vAlign w:val="center"/>
            <w:tcMar>
              <w:top w:w="90" w:type="dxa"/>
              <w:start w:w="100" w:type="dxa"/>
              <w:bottom w:w="90" w:type="dxa"/>
              <w:end w:w="100" w:type="dxa"/>
            </w:tcMar>
          </w:tcPr>
          <w:p>
            <w:pPr>
              <w:spacing w:after="0"/>
            </w:pPr>
            <w:r>
              <w:rPr>
                <w:b/>
                <w:sz w:val="17"/>
              </w:rPr>
              <w:t>GitHub Actions</w:t>
            </w:r>
          </w:p>
        </w:tc>
        <w:tc>
          <w:tcPr>
            <w:tcW w:type="dxa" w:w="5040"/>
            <w:vAlign w:val="center"/>
            <w:tcMar>
              <w:top w:w="90" w:type="dxa"/>
              <w:start w:w="100" w:type="dxa"/>
              <w:bottom w:w="90" w:type="dxa"/>
              <w:end w:w="100" w:type="dxa"/>
            </w:tcMar>
          </w:tcPr>
          <w:p>
            <w:pPr>
              <w:spacing w:after="0"/>
            </w:pPr>
            <w:r>
              <w:rPr>
                <w:sz w:val="17"/>
              </w:rPr>
              <w:t>Runner ubuntu-24.04; descarga código, configura Python, instala dependencias, ejecuta pytest, construye y prueba el contenedor Docker.</w:t>
            </w:r>
          </w:p>
        </w:tc>
      </w:tr>
      <w:tr>
        <w:trPr>
          <w:cantSplit/>
        </w:trPr>
        <w:tc>
          <w:tcPr>
            <w:tcW w:type="dxa" w:w="5040"/>
            <w:vAlign w:val="center"/>
            <w:tcMar>
              <w:top w:w="90" w:type="dxa"/>
              <w:start w:w="100" w:type="dxa"/>
              <w:bottom w:w="90" w:type="dxa"/>
              <w:end w:w="100" w:type="dxa"/>
            </w:tcMar>
            <w:shd w:fill="F2F6FA"/>
          </w:tcPr>
          <w:p>
            <w:pPr>
              <w:spacing w:after="0"/>
            </w:pPr>
            <w:r>
              <w:rPr>
                <w:b/>
                <w:sz w:val="17"/>
              </w:rPr>
              <w:t>Docker</w:t>
            </w:r>
          </w:p>
        </w:tc>
        <w:tc>
          <w:tcPr>
            <w:tcW w:type="dxa" w:w="5040"/>
            <w:vAlign w:val="center"/>
            <w:tcMar>
              <w:top w:w="90" w:type="dxa"/>
              <w:start w:w="100" w:type="dxa"/>
              <w:bottom w:w="90" w:type="dxa"/>
              <w:end w:w="100" w:type="dxa"/>
            </w:tcMar>
            <w:shd w:fill="F2F6FA"/>
          </w:tcPr>
          <w:p>
            <w:pPr>
              <w:spacing w:after="0"/>
            </w:pPr>
            <w:r>
              <w:rPr>
                <w:sz w:val="17"/>
              </w:rPr>
              <w:t>Empaqueta FastAPI, frontend, dependencias y artefacto Regresion_Logistica.joblib.</w:t>
            </w:r>
          </w:p>
        </w:tc>
      </w:tr>
      <w:tr>
        <w:trPr>
          <w:cantSplit/>
        </w:trPr>
        <w:tc>
          <w:tcPr>
            <w:tcW w:type="dxa" w:w="5040"/>
            <w:vAlign w:val="center"/>
            <w:tcMar>
              <w:top w:w="90" w:type="dxa"/>
              <w:start w:w="100" w:type="dxa"/>
              <w:bottom w:w="90" w:type="dxa"/>
              <w:end w:w="100" w:type="dxa"/>
            </w:tcMar>
          </w:tcPr>
          <w:p>
            <w:pPr>
              <w:spacing w:after="0"/>
            </w:pPr>
            <w:r>
              <w:rPr>
                <w:b/>
                <w:sz w:val="17"/>
              </w:rPr>
              <w:t>Render Web Service</w:t>
            </w:r>
          </w:p>
        </w:tc>
        <w:tc>
          <w:tcPr>
            <w:tcW w:type="dxa" w:w="5040"/>
            <w:vAlign w:val="center"/>
            <w:tcMar>
              <w:top w:w="90" w:type="dxa"/>
              <w:start w:w="100" w:type="dxa"/>
              <w:bottom w:w="90" w:type="dxa"/>
              <w:end w:w="100" w:type="dxa"/>
            </w:tcMar>
          </w:tcPr>
          <w:p>
            <w:pPr>
              <w:spacing w:after="0"/>
            </w:pPr>
            <w:r>
              <w:rPr>
                <w:sz w:val="17"/>
              </w:rPr>
              <w:t>Construye desde GitHub y publica el servicio en una URL HTTPS.</w:t>
            </w:r>
          </w:p>
        </w:tc>
      </w:tr>
      <w:tr>
        <w:trPr>
          <w:cantSplit/>
        </w:trPr>
        <w:tc>
          <w:tcPr>
            <w:tcW w:type="dxa" w:w="5040"/>
            <w:vAlign w:val="center"/>
            <w:tcMar>
              <w:top w:w="90" w:type="dxa"/>
              <w:start w:w="100" w:type="dxa"/>
              <w:bottom w:w="90" w:type="dxa"/>
              <w:end w:w="100" w:type="dxa"/>
            </w:tcMar>
            <w:shd w:fill="F2F6FA"/>
          </w:tcPr>
          <w:p>
            <w:pPr>
              <w:spacing w:after="0"/>
            </w:pPr>
            <w:r>
              <w:rPr>
                <w:b/>
                <w:sz w:val="17"/>
              </w:rPr>
              <w:t>FastAPI</w:t>
            </w:r>
          </w:p>
        </w:tc>
        <w:tc>
          <w:tcPr>
            <w:tcW w:type="dxa" w:w="5040"/>
            <w:vAlign w:val="center"/>
            <w:tcMar>
              <w:top w:w="90" w:type="dxa"/>
              <w:start w:w="100" w:type="dxa"/>
              <w:bottom w:w="90" w:type="dxa"/>
              <w:end w:w="100" w:type="dxa"/>
            </w:tcMar>
            <w:shd w:fill="F2F6FA"/>
          </w:tcPr>
          <w:p>
            <w:pPr>
              <w:spacing w:after="0"/>
            </w:pPr>
            <w:r>
              <w:rPr>
                <w:sz w:val="17"/>
              </w:rPr>
              <w:t>Expone GET /, GET /health, POST /predict y documentación OpenAPI/Swagger.</w:t>
            </w:r>
          </w:p>
        </w:tc>
      </w:tr>
    </w:tbl>
    <w:p>
      <w:pPr>
        <w:spacing w:after="20"/>
      </w:pPr>
    </w:p>
    <w:p>
      <w:pPr>
        <w:pStyle w:val="Heading1"/>
      </w:pPr>
      <w:r>
        <w:t>3. Estructura relevante del repositorio</w:t>
      </w:r>
    </w:p>
    <w:p>
      <w:r>
        <w:t>La carpeta FaseII/ contiene el contexto del servicio Docker. El workflow se encuentra en la raíz del repositorio, bajo .github/workflows/.</w:t>
      </w:r>
    </w:p>
    <w:p>
      <w:pPr>
        <w:ind w:left="288"/>
      </w:pPr>
      <w:r>
        <w:rPr>
          <w:rFonts w:ascii="Consolas" w:hAnsi="Consolas"/>
          <w:color w:val="12365A"/>
          <w:sz w:val="18"/>
        </w:rPr>
        <w:t>deep-learning-experiments/</w:t>
        <w:br/>
        <w:t>├── .github/</w:t>
        <w:br/>
        <w:t>│   └── workflows/</w:t>
        <w:br/>
        <w:t>│       └── fase2-docker.yml</w:t>
        <w:br/>
        <w:t>├── Actividad5/</w:t>
        <w:br/>
        <w:t>├── Actividad6/</w:t>
        <w:br/>
        <w:t>└── FaseII/</w:t>
        <w:br/>
        <w:t xml:space="preserve">    ├── README.md</w:t>
        <w:br/>
        <w:t xml:space="preserve">    ├── Dockerfile</w:t>
        <w:br/>
        <w:t xml:space="preserve">    ├── requirements.txt</w:t>
        <w:br/>
        <w:t xml:space="preserve">    ├── .dockerignore</w:t>
        <w:br/>
        <w:t xml:space="preserve">    ├── backend/</w:t>
        <w:br/>
        <w:t xml:space="preserve">    ├── frontend/</w:t>
        <w:br/>
        <w:t xml:space="preserve">    ├── modelos/</w:t>
        <w:br/>
        <w:t xml:space="preserve">    │   └── Regresion_Logistica.joblib</w:t>
        <w:br/>
        <w:t xml:space="preserve">    ├── tests/</w:t>
        <w:br/>
        <w:t xml:space="preserve">    └── docs/</w:t>
      </w:r>
    </w:p>
    <w:p>
      <w:pPr>
        <w:pStyle w:val="Heading1"/>
      </w:pPr>
      <w:r>
        <w:t>4. Construcción y validación en GitHub Actions</w:t>
      </w:r>
    </w:p>
    <w:p>
      <w:r>
        <w:t>Workflow: “Fase II - prueba y construcción Docker”. Archivo: .github/workflows/fase2-docker.yml. La configuración final utiliza runner ubuntu-24.04, actions/checkout@v7 y actions/setup-python@v7. La versión de Python configurada por el workflow debe conservarse alineada con las dependencias de pruebas y con el runtime del contenedor.</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5040"/>
            <w:shd w:fill="12365A"/>
            <w:tcMar>
              <w:top w:w="100" w:type="dxa"/>
              <w:start w:w="100" w:type="dxa"/>
              <w:bottom w:w="100" w:type="dxa"/>
              <w:end w:w="100" w:type="dxa"/>
            </w:tcMar>
            <w:vAlign w:val="center"/>
          </w:tcPr>
          <w:p>
            <w:r>
              <w:rPr>
                <w:b/>
                <w:color w:val="FFFFFF"/>
                <w:sz w:val="17"/>
              </w:rPr>
              <w:t>Paso del workflow</w:t>
            </w:r>
          </w:p>
        </w:tc>
        <w:tc>
          <w:tcPr>
            <w:tcW w:type="dxa" w:w="5040"/>
            <w:shd w:fill="12365A"/>
            <w:tcMar>
              <w:top w:w="100" w:type="dxa"/>
              <w:start w:w="100" w:type="dxa"/>
              <w:bottom w:w="100" w:type="dxa"/>
              <w:end w:w="100" w:type="dxa"/>
            </w:tcMar>
            <w:vAlign w:val="center"/>
          </w:tcPr>
          <w:p>
            <w:r>
              <w:rPr>
                <w:b/>
                <w:color w:val="FFFFFF"/>
                <w:sz w:val="17"/>
              </w:rPr>
              <w:t>Qué verifica</w:t>
            </w:r>
          </w:p>
        </w:tc>
      </w:tr>
      <w:tr>
        <w:trPr>
          <w:cantSplit/>
        </w:trPr>
        <w:tc>
          <w:tcPr>
            <w:tcW w:type="dxa" w:w="5040"/>
            <w:vAlign w:val="center"/>
            <w:tcMar>
              <w:top w:w="90" w:type="dxa"/>
              <w:start w:w="100" w:type="dxa"/>
              <w:bottom w:w="90" w:type="dxa"/>
              <w:end w:w="100" w:type="dxa"/>
            </w:tcMar>
            <w:shd w:fill="F2F6FA"/>
          </w:tcPr>
          <w:p>
            <w:pPr>
              <w:spacing w:after="0"/>
            </w:pPr>
            <w:r>
              <w:rPr>
                <w:b/>
                <w:sz w:val="17"/>
              </w:rPr>
              <w:t>Set up job / Descargar código fuente</w:t>
            </w:r>
          </w:p>
        </w:tc>
        <w:tc>
          <w:tcPr>
            <w:tcW w:type="dxa" w:w="5040"/>
            <w:vAlign w:val="center"/>
            <w:tcMar>
              <w:top w:w="90" w:type="dxa"/>
              <w:start w:w="100" w:type="dxa"/>
              <w:bottom w:w="90" w:type="dxa"/>
              <w:end w:w="100" w:type="dxa"/>
            </w:tcMar>
            <w:shd w:fill="F2F6FA"/>
          </w:tcPr>
          <w:p>
            <w:pPr>
              <w:spacing w:after="0"/>
            </w:pPr>
            <w:r>
              <w:rPr>
                <w:sz w:val="17"/>
              </w:rPr>
              <w:t>Prepara el runner y obtiene el commit de la rama main.</w:t>
            </w:r>
          </w:p>
        </w:tc>
      </w:tr>
      <w:tr>
        <w:trPr>
          <w:cantSplit/>
        </w:trPr>
        <w:tc>
          <w:tcPr>
            <w:tcW w:type="dxa" w:w="5040"/>
            <w:vAlign w:val="center"/>
            <w:tcMar>
              <w:top w:w="90" w:type="dxa"/>
              <w:start w:w="100" w:type="dxa"/>
              <w:bottom w:w="90" w:type="dxa"/>
              <w:end w:w="100" w:type="dxa"/>
            </w:tcMar>
          </w:tcPr>
          <w:p>
            <w:pPr>
              <w:spacing w:after="0"/>
            </w:pPr>
            <w:r>
              <w:rPr>
                <w:b/>
                <w:sz w:val="17"/>
              </w:rPr>
              <w:t>Configurar Python</w:t>
            </w:r>
          </w:p>
        </w:tc>
        <w:tc>
          <w:tcPr>
            <w:tcW w:type="dxa" w:w="5040"/>
            <w:vAlign w:val="center"/>
            <w:tcMar>
              <w:top w:w="90" w:type="dxa"/>
              <w:start w:w="100" w:type="dxa"/>
              <w:bottom w:w="90" w:type="dxa"/>
              <w:end w:w="100" w:type="dxa"/>
            </w:tcMar>
          </w:tcPr>
          <w:p>
            <w:pPr>
              <w:spacing w:after="0"/>
            </w:pPr>
            <w:r>
              <w:rPr>
                <w:sz w:val="17"/>
              </w:rPr>
              <w:t>Prepara el intérprete requerido por las pruebas.</w:t>
            </w:r>
          </w:p>
        </w:tc>
      </w:tr>
      <w:tr>
        <w:trPr>
          <w:cantSplit/>
        </w:trPr>
        <w:tc>
          <w:tcPr>
            <w:tcW w:type="dxa" w:w="5040"/>
            <w:vAlign w:val="center"/>
            <w:tcMar>
              <w:top w:w="90" w:type="dxa"/>
              <w:start w:w="100" w:type="dxa"/>
              <w:bottom w:w="90" w:type="dxa"/>
              <w:end w:w="100" w:type="dxa"/>
            </w:tcMar>
            <w:shd w:fill="F2F6FA"/>
          </w:tcPr>
          <w:p>
            <w:pPr>
              <w:spacing w:after="0"/>
            </w:pPr>
            <w:r>
              <w:rPr>
                <w:b/>
                <w:sz w:val="17"/>
              </w:rPr>
              <w:t>Instalar dependencias de prueba</w:t>
            </w:r>
          </w:p>
        </w:tc>
        <w:tc>
          <w:tcPr>
            <w:tcW w:type="dxa" w:w="5040"/>
            <w:vAlign w:val="center"/>
            <w:tcMar>
              <w:top w:w="90" w:type="dxa"/>
              <w:start w:w="100" w:type="dxa"/>
              <w:bottom w:w="90" w:type="dxa"/>
              <w:end w:w="100" w:type="dxa"/>
            </w:tcMar>
            <w:shd w:fill="F2F6FA"/>
          </w:tcPr>
          <w:p>
            <w:pPr>
              <w:spacing w:after="0"/>
            </w:pPr>
            <w:r>
              <w:rPr>
                <w:sz w:val="17"/>
              </w:rPr>
              <w:t>Instala las bibliotecas declaradas.</w:t>
            </w:r>
          </w:p>
        </w:tc>
      </w:tr>
      <w:tr>
        <w:trPr>
          <w:cantSplit/>
        </w:trPr>
        <w:tc>
          <w:tcPr>
            <w:tcW w:type="dxa" w:w="5040"/>
            <w:vAlign w:val="center"/>
            <w:tcMar>
              <w:top w:w="90" w:type="dxa"/>
              <w:start w:w="100" w:type="dxa"/>
              <w:bottom w:w="90" w:type="dxa"/>
              <w:end w:w="100" w:type="dxa"/>
            </w:tcMar>
          </w:tcPr>
          <w:p>
            <w:pPr>
              <w:spacing w:after="0"/>
            </w:pPr>
            <w:r>
              <w:rPr>
                <w:b/>
                <w:sz w:val="17"/>
              </w:rPr>
              <w:t>Ejecutar pruebas de API y modelo</w:t>
            </w:r>
          </w:p>
        </w:tc>
        <w:tc>
          <w:tcPr>
            <w:tcW w:type="dxa" w:w="5040"/>
            <w:vAlign w:val="center"/>
            <w:tcMar>
              <w:top w:w="90" w:type="dxa"/>
              <w:start w:w="100" w:type="dxa"/>
              <w:bottom w:w="90" w:type="dxa"/>
              <w:end w:w="100" w:type="dxa"/>
            </w:tcMar>
          </w:tcPr>
          <w:p>
            <w:pPr>
              <w:spacing w:after="0"/>
            </w:pPr>
            <w:r>
              <w:rPr>
                <w:sz w:val="17"/>
              </w:rPr>
              <w:t>Ejecuta pytest sobre el backend y el modelo.</w:t>
            </w:r>
          </w:p>
        </w:tc>
      </w:tr>
      <w:tr>
        <w:trPr>
          <w:cantSplit/>
        </w:trPr>
        <w:tc>
          <w:tcPr>
            <w:tcW w:type="dxa" w:w="5040"/>
            <w:vAlign w:val="center"/>
            <w:tcMar>
              <w:top w:w="90" w:type="dxa"/>
              <w:start w:w="100" w:type="dxa"/>
              <w:bottom w:w="90" w:type="dxa"/>
              <w:end w:w="100" w:type="dxa"/>
            </w:tcMar>
            <w:shd w:fill="F2F6FA"/>
          </w:tcPr>
          <w:p>
            <w:pPr>
              <w:spacing w:after="0"/>
            </w:pPr>
            <w:r>
              <w:rPr>
                <w:b/>
                <w:sz w:val="17"/>
              </w:rPr>
              <w:t>Construir imagen Docker</w:t>
            </w:r>
          </w:p>
        </w:tc>
        <w:tc>
          <w:tcPr>
            <w:tcW w:type="dxa" w:w="5040"/>
            <w:vAlign w:val="center"/>
            <w:tcMar>
              <w:top w:w="90" w:type="dxa"/>
              <w:start w:w="100" w:type="dxa"/>
              <w:bottom w:w="90" w:type="dxa"/>
              <w:end w:w="100" w:type="dxa"/>
            </w:tcMar>
            <w:shd w:fill="F2F6FA"/>
          </w:tcPr>
          <w:p>
            <w:pPr>
              <w:spacing w:after="0"/>
            </w:pPr>
            <w:r>
              <w:rPr>
                <w:sz w:val="17"/>
              </w:rPr>
              <w:t>Construye la imagen mediante el Dockerfile de FaseII.</w:t>
            </w:r>
          </w:p>
        </w:tc>
      </w:tr>
      <w:tr>
        <w:trPr>
          <w:cantSplit/>
        </w:trPr>
        <w:tc>
          <w:tcPr>
            <w:tcW w:type="dxa" w:w="5040"/>
            <w:vAlign w:val="center"/>
            <w:tcMar>
              <w:top w:w="90" w:type="dxa"/>
              <w:start w:w="100" w:type="dxa"/>
              <w:bottom w:w="90" w:type="dxa"/>
              <w:end w:w="100" w:type="dxa"/>
            </w:tcMar>
          </w:tcPr>
          <w:p>
            <w:pPr>
              <w:spacing w:after="0"/>
            </w:pPr>
            <w:r>
              <w:rPr>
                <w:b/>
                <w:sz w:val="17"/>
              </w:rPr>
              <w:t>Probar contenedor construido</w:t>
            </w:r>
          </w:p>
        </w:tc>
        <w:tc>
          <w:tcPr>
            <w:tcW w:type="dxa" w:w="5040"/>
            <w:vAlign w:val="center"/>
            <w:tcMar>
              <w:top w:w="90" w:type="dxa"/>
              <w:start w:w="100" w:type="dxa"/>
              <w:bottom w:w="90" w:type="dxa"/>
              <w:end w:w="100" w:type="dxa"/>
            </w:tcMar>
          </w:tcPr>
          <w:p>
            <w:pPr>
              <w:spacing w:after="0"/>
            </w:pPr>
            <w:r>
              <w:rPr>
                <w:sz w:val="17"/>
              </w:rPr>
              <w:t>Arranca el contenedor y comprueba los endpoints HTTP, incluida la disponibilidad y una inferencia.</w:t>
            </w:r>
          </w:p>
        </w:tc>
      </w:tr>
    </w:tbl>
    <w:p>
      <w:pPr>
        <w:spacing w:after="20"/>
      </w:pPr>
    </w:p>
    <w:p>
      <w:r>
        <w:t>La tercera ejecución visible terminó en Success en 1 min 3 s. Las tres ejecuciones reportadas en el historial fueron exitosas. La primera y segunda ejecución generaron advertencias de compatibilidad de runtime; se actualizaron las acciones y se fijó ubuntu-24.04 en la tercera.</w:t>
      </w:r>
    </w:p>
    <w:p>
      <w:pPr>
        <w:jc w:val="center"/>
      </w:pPr>
      <w:r>
        <w:drawing>
          <wp:inline xmlns:a="http://schemas.openxmlformats.org/drawingml/2006/main" xmlns:pic="http://schemas.openxmlformats.org/drawingml/2006/picture">
            <wp:extent cx="5669280" cy="4210459"/>
            <wp:docPr id="1" name="Picture 1"/>
            <wp:cNvGraphicFramePr>
              <a:graphicFrameLocks noChangeAspect="1"/>
            </wp:cNvGraphicFramePr>
            <a:graphic>
              <a:graphicData uri="http://schemas.openxmlformats.org/drawingml/2006/picture">
                <pic:pic>
                  <pic:nvPicPr>
                    <pic:cNvPr id="0" name="github_actions_run_03.png"/>
                    <pic:cNvPicPr/>
                  </pic:nvPicPr>
                  <pic:blipFill>
                    <a:blip r:embed="rId13"/>
                    <a:stretch>
                      <a:fillRect/>
                    </a:stretch>
                  </pic:blipFill>
                  <pic:spPr>
                    <a:xfrm>
                      <a:off x="0" y="0"/>
                      <a:ext cx="5669280" cy="4210459"/>
                    </a:xfrm>
                    <a:prstGeom prst="rect"/>
                  </pic:spPr>
                </pic:pic>
              </a:graphicData>
            </a:graphic>
          </wp:inline>
        </w:drawing>
      </w:r>
    </w:p>
    <w:p>
      <w:pPr>
        <w:jc w:val="center"/>
      </w:pPr>
      <w:r>
        <w:rPr>
          <w:i/>
          <w:color w:val="5B6573"/>
          <w:sz w:val="16"/>
        </w:rPr>
        <w:t>Figura 1. GitHub Actions: ejecución #3 exitosa después de actualizar los runtimes.</w:t>
      </w:r>
    </w:p>
    <w:p>
      <w:pPr>
        <w:pStyle w:val="Heading1"/>
      </w:pPr>
      <w:r>
        <w:t>5. Configuración de Render</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5040"/>
            <w:shd w:fill="12365A"/>
            <w:tcMar>
              <w:top w:w="100" w:type="dxa"/>
              <w:start w:w="100" w:type="dxa"/>
              <w:bottom w:w="100" w:type="dxa"/>
              <w:end w:w="100" w:type="dxa"/>
            </w:tcMar>
            <w:vAlign w:val="center"/>
          </w:tcPr>
          <w:p>
            <w:r>
              <w:rPr>
                <w:b/>
                <w:color w:val="FFFFFF"/>
                <w:sz w:val="17"/>
              </w:rPr>
              <w:t>Campo</w:t>
            </w:r>
          </w:p>
        </w:tc>
        <w:tc>
          <w:tcPr>
            <w:tcW w:type="dxa" w:w="5040"/>
            <w:shd w:fill="12365A"/>
            <w:tcMar>
              <w:top w:w="100" w:type="dxa"/>
              <w:start w:w="100" w:type="dxa"/>
              <w:bottom w:w="100" w:type="dxa"/>
              <w:end w:w="100" w:type="dxa"/>
            </w:tcMar>
            <w:vAlign w:val="center"/>
          </w:tcPr>
          <w:p>
            <w:r>
              <w:rPr>
                <w:b/>
                <w:color w:val="FFFFFF"/>
                <w:sz w:val="17"/>
              </w:rPr>
              <w:t>Configuración utilizada</w:t>
            </w:r>
          </w:p>
        </w:tc>
      </w:tr>
      <w:tr>
        <w:trPr>
          <w:cantSplit/>
        </w:trPr>
        <w:tc>
          <w:tcPr>
            <w:tcW w:type="dxa" w:w="5040"/>
            <w:vAlign w:val="center"/>
            <w:tcMar>
              <w:top w:w="90" w:type="dxa"/>
              <w:start w:w="100" w:type="dxa"/>
              <w:bottom w:w="90" w:type="dxa"/>
              <w:end w:w="100" w:type="dxa"/>
            </w:tcMar>
            <w:shd w:fill="F2F6FA"/>
          </w:tcPr>
          <w:p>
            <w:pPr>
              <w:spacing w:after="0"/>
            </w:pPr>
            <w:r>
              <w:rPr>
                <w:b/>
                <w:sz w:val="17"/>
              </w:rPr>
              <w:t>Tipo</w:t>
            </w:r>
          </w:p>
        </w:tc>
        <w:tc>
          <w:tcPr>
            <w:tcW w:type="dxa" w:w="5040"/>
            <w:vAlign w:val="center"/>
            <w:tcMar>
              <w:top w:w="90" w:type="dxa"/>
              <w:start w:w="100" w:type="dxa"/>
              <w:bottom w:w="90" w:type="dxa"/>
              <w:end w:w="100" w:type="dxa"/>
            </w:tcMar>
            <w:shd w:fill="F2F6FA"/>
          </w:tcPr>
          <w:p>
            <w:pPr>
              <w:spacing w:after="0"/>
            </w:pPr>
            <w:r>
              <w:rPr>
                <w:sz w:val="17"/>
              </w:rPr>
              <w:t>Web Service</w:t>
            </w:r>
          </w:p>
        </w:tc>
      </w:tr>
      <w:tr>
        <w:trPr>
          <w:cantSplit/>
        </w:trPr>
        <w:tc>
          <w:tcPr>
            <w:tcW w:type="dxa" w:w="5040"/>
            <w:vAlign w:val="center"/>
            <w:tcMar>
              <w:top w:w="90" w:type="dxa"/>
              <w:start w:w="100" w:type="dxa"/>
              <w:bottom w:w="90" w:type="dxa"/>
              <w:end w:w="100" w:type="dxa"/>
            </w:tcMar>
          </w:tcPr>
          <w:p>
            <w:pPr>
              <w:spacing w:after="0"/>
            </w:pPr>
            <w:r>
              <w:rPr>
                <w:b/>
                <w:sz w:val="17"/>
              </w:rPr>
              <w:t>Nombre</w:t>
            </w:r>
          </w:p>
        </w:tc>
        <w:tc>
          <w:tcPr>
            <w:tcW w:type="dxa" w:w="5040"/>
            <w:vAlign w:val="center"/>
            <w:tcMar>
              <w:top w:w="90" w:type="dxa"/>
              <w:start w:w="100" w:type="dxa"/>
              <w:bottom w:w="90" w:type="dxa"/>
              <w:end w:w="100" w:type="dxa"/>
            </w:tcMar>
          </w:tcPr>
          <w:p>
            <w:pPr>
              <w:spacing w:after="0"/>
            </w:pPr>
            <w:r>
              <w:rPr>
                <w:sz w:val="17"/>
              </w:rPr>
              <w:t>chatbot-cima-fase2</w:t>
            </w:r>
          </w:p>
        </w:tc>
      </w:tr>
      <w:tr>
        <w:trPr>
          <w:cantSplit/>
        </w:trPr>
        <w:tc>
          <w:tcPr>
            <w:tcW w:type="dxa" w:w="5040"/>
            <w:vAlign w:val="center"/>
            <w:tcMar>
              <w:top w:w="90" w:type="dxa"/>
              <w:start w:w="100" w:type="dxa"/>
              <w:bottom w:w="90" w:type="dxa"/>
              <w:end w:w="100" w:type="dxa"/>
            </w:tcMar>
            <w:shd w:fill="F2F6FA"/>
          </w:tcPr>
          <w:p>
            <w:pPr>
              <w:spacing w:after="0"/>
            </w:pPr>
            <w:r>
              <w:rPr>
                <w:b/>
                <w:sz w:val="17"/>
              </w:rPr>
              <w:t>Source</w:t>
            </w:r>
          </w:p>
        </w:tc>
        <w:tc>
          <w:tcPr>
            <w:tcW w:type="dxa" w:w="5040"/>
            <w:vAlign w:val="center"/>
            <w:tcMar>
              <w:top w:w="90" w:type="dxa"/>
              <w:start w:w="100" w:type="dxa"/>
              <w:bottom w:w="90" w:type="dxa"/>
              <w:end w:w="100" w:type="dxa"/>
            </w:tcMar>
            <w:shd w:fill="F2F6FA"/>
          </w:tcPr>
          <w:p>
            <w:pPr>
              <w:spacing w:after="0"/>
            </w:pPr>
            <w:r>
              <w:rPr>
                <w:sz w:val="17"/>
              </w:rPr>
              <w:t>alfredosalazar-ai/deep-learning-experiments</w:t>
            </w:r>
          </w:p>
        </w:tc>
      </w:tr>
      <w:tr>
        <w:trPr>
          <w:cantSplit/>
        </w:trPr>
        <w:tc>
          <w:tcPr>
            <w:tcW w:type="dxa" w:w="5040"/>
            <w:vAlign w:val="center"/>
            <w:tcMar>
              <w:top w:w="90" w:type="dxa"/>
              <w:start w:w="100" w:type="dxa"/>
              <w:bottom w:w="90" w:type="dxa"/>
              <w:end w:w="100" w:type="dxa"/>
            </w:tcMar>
          </w:tcPr>
          <w:p>
            <w:pPr>
              <w:spacing w:after="0"/>
            </w:pPr>
            <w:r>
              <w:rPr>
                <w:b/>
                <w:sz w:val="17"/>
              </w:rPr>
              <w:t>Branch</w:t>
            </w:r>
          </w:p>
        </w:tc>
        <w:tc>
          <w:tcPr>
            <w:tcW w:type="dxa" w:w="5040"/>
            <w:vAlign w:val="center"/>
            <w:tcMar>
              <w:top w:w="90" w:type="dxa"/>
              <w:start w:w="100" w:type="dxa"/>
              <w:bottom w:w="90" w:type="dxa"/>
              <w:end w:w="100" w:type="dxa"/>
            </w:tcMar>
          </w:tcPr>
          <w:p>
            <w:pPr>
              <w:spacing w:after="0"/>
            </w:pPr>
            <w:r>
              <w:rPr>
                <w:sz w:val="17"/>
              </w:rPr>
              <w:t>main</w:t>
            </w:r>
          </w:p>
        </w:tc>
      </w:tr>
      <w:tr>
        <w:trPr>
          <w:cantSplit/>
        </w:trPr>
        <w:tc>
          <w:tcPr>
            <w:tcW w:type="dxa" w:w="5040"/>
            <w:vAlign w:val="center"/>
            <w:tcMar>
              <w:top w:w="90" w:type="dxa"/>
              <w:start w:w="100" w:type="dxa"/>
              <w:bottom w:w="90" w:type="dxa"/>
              <w:end w:w="100" w:type="dxa"/>
            </w:tcMar>
            <w:shd w:fill="F2F6FA"/>
          </w:tcPr>
          <w:p>
            <w:pPr>
              <w:spacing w:after="0"/>
            </w:pPr>
            <w:r>
              <w:rPr>
                <w:b/>
                <w:sz w:val="17"/>
              </w:rPr>
              <w:t>Language / Runtime</w:t>
            </w:r>
          </w:p>
        </w:tc>
        <w:tc>
          <w:tcPr>
            <w:tcW w:type="dxa" w:w="5040"/>
            <w:vAlign w:val="center"/>
            <w:tcMar>
              <w:top w:w="90" w:type="dxa"/>
              <w:start w:w="100" w:type="dxa"/>
              <w:bottom w:w="90" w:type="dxa"/>
              <w:end w:w="100" w:type="dxa"/>
            </w:tcMar>
            <w:shd w:fill="F2F6FA"/>
          </w:tcPr>
          <w:p>
            <w:pPr>
              <w:spacing w:after="0"/>
            </w:pPr>
            <w:r>
              <w:rPr>
                <w:sz w:val="17"/>
              </w:rPr>
              <w:t>Docker</w:t>
            </w:r>
          </w:p>
        </w:tc>
      </w:tr>
      <w:tr>
        <w:trPr>
          <w:cantSplit/>
        </w:trPr>
        <w:tc>
          <w:tcPr>
            <w:tcW w:type="dxa" w:w="5040"/>
            <w:vAlign w:val="center"/>
            <w:tcMar>
              <w:top w:w="90" w:type="dxa"/>
              <w:start w:w="100" w:type="dxa"/>
              <w:bottom w:w="90" w:type="dxa"/>
              <w:end w:w="100" w:type="dxa"/>
            </w:tcMar>
          </w:tcPr>
          <w:p>
            <w:pPr>
              <w:spacing w:after="0"/>
            </w:pPr>
            <w:r>
              <w:rPr>
                <w:b/>
                <w:sz w:val="17"/>
              </w:rPr>
              <w:t>Region</w:t>
            </w:r>
          </w:p>
        </w:tc>
        <w:tc>
          <w:tcPr>
            <w:tcW w:type="dxa" w:w="5040"/>
            <w:vAlign w:val="center"/>
            <w:tcMar>
              <w:top w:w="90" w:type="dxa"/>
              <w:start w:w="100" w:type="dxa"/>
              <w:bottom w:w="90" w:type="dxa"/>
              <w:end w:w="100" w:type="dxa"/>
            </w:tcMar>
          </w:tcPr>
          <w:p>
            <w:pPr>
              <w:spacing w:after="0"/>
            </w:pPr>
            <w:r>
              <w:rPr>
                <w:sz w:val="17"/>
              </w:rPr>
              <w:t>Oregon (US West)</w:t>
            </w:r>
          </w:p>
        </w:tc>
      </w:tr>
      <w:tr>
        <w:trPr>
          <w:cantSplit/>
        </w:trPr>
        <w:tc>
          <w:tcPr>
            <w:tcW w:type="dxa" w:w="5040"/>
            <w:vAlign w:val="center"/>
            <w:tcMar>
              <w:top w:w="90" w:type="dxa"/>
              <w:start w:w="100" w:type="dxa"/>
              <w:bottom w:w="90" w:type="dxa"/>
              <w:end w:w="100" w:type="dxa"/>
            </w:tcMar>
            <w:shd w:fill="F2F6FA"/>
          </w:tcPr>
          <w:p>
            <w:pPr>
              <w:spacing w:after="0"/>
            </w:pPr>
            <w:r>
              <w:rPr>
                <w:b/>
                <w:sz w:val="17"/>
              </w:rPr>
              <w:t>Root Directory</w:t>
            </w:r>
          </w:p>
        </w:tc>
        <w:tc>
          <w:tcPr>
            <w:tcW w:type="dxa" w:w="5040"/>
            <w:vAlign w:val="center"/>
            <w:tcMar>
              <w:top w:w="90" w:type="dxa"/>
              <w:start w:w="100" w:type="dxa"/>
              <w:bottom w:w="90" w:type="dxa"/>
              <w:end w:w="100" w:type="dxa"/>
            </w:tcMar>
            <w:shd w:fill="F2F6FA"/>
          </w:tcPr>
          <w:p>
            <w:pPr>
              <w:spacing w:after="0"/>
            </w:pPr>
            <w:r>
              <w:rPr>
                <w:sz w:val="17"/>
              </w:rPr>
              <w:t>FaseII</w:t>
            </w:r>
          </w:p>
        </w:tc>
      </w:tr>
      <w:tr>
        <w:trPr>
          <w:cantSplit/>
        </w:trPr>
        <w:tc>
          <w:tcPr>
            <w:tcW w:type="dxa" w:w="5040"/>
            <w:vAlign w:val="center"/>
            <w:tcMar>
              <w:top w:w="90" w:type="dxa"/>
              <w:start w:w="100" w:type="dxa"/>
              <w:bottom w:w="90" w:type="dxa"/>
              <w:end w:w="100" w:type="dxa"/>
            </w:tcMar>
          </w:tcPr>
          <w:p>
            <w:pPr>
              <w:spacing w:after="0"/>
            </w:pPr>
            <w:r>
              <w:rPr>
                <w:b/>
                <w:sz w:val="17"/>
              </w:rPr>
              <w:t>Docker build context</w:t>
            </w:r>
          </w:p>
        </w:tc>
        <w:tc>
          <w:tcPr>
            <w:tcW w:type="dxa" w:w="5040"/>
            <w:vAlign w:val="center"/>
            <w:tcMar>
              <w:top w:w="90" w:type="dxa"/>
              <w:start w:w="100" w:type="dxa"/>
              <w:bottom w:w="90" w:type="dxa"/>
              <w:end w:w="100" w:type="dxa"/>
            </w:tcMar>
          </w:tcPr>
          <w:p>
            <w:pPr>
              <w:spacing w:after="0"/>
            </w:pPr>
            <w:r>
              <w:rPr>
                <w:sz w:val="17"/>
              </w:rPr>
              <w:t>Carpeta FaseII (contexto del servicio)</w:t>
            </w:r>
          </w:p>
        </w:tc>
      </w:tr>
      <w:tr>
        <w:trPr>
          <w:cantSplit/>
        </w:trPr>
        <w:tc>
          <w:tcPr>
            <w:tcW w:type="dxa" w:w="5040"/>
            <w:vAlign w:val="center"/>
            <w:tcMar>
              <w:top w:w="90" w:type="dxa"/>
              <w:start w:w="100" w:type="dxa"/>
              <w:bottom w:w="90" w:type="dxa"/>
              <w:end w:w="100" w:type="dxa"/>
            </w:tcMar>
            <w:shd w:fill="F2F6FA"/>
          </w:tcPr>
          <w:p>
            <w:pPr>
              <w:spacing w:after="0"/>
            </w:pPr>
            <w:r>
              <w:rPr>
                <w:b/>
                <w:sz w:val="17"/>
              </w:rPr>
              <w:t>Dockerfile</w:t>
            </w:r>
          </w:p>
        </w:tc>
        <w:tc>
          <w:tcPr>
            <w:tcW w:type="dxa" w:w="5040"/>
            <w:vAlign w:val="center"/>
            <w:tcMar>
              <w:top w:w="90" w:type="dxa"/>
              <w:start w:w="100" w:type="dxa"/>
              <w:bottom w:w="90" w:type="dxa"/>
              <w:end w:w="100" w:type="dxa"/>
            </w:tcMar>
            <w:shd w:fill="F2F6FA"/>
          </w:tcPr>
          <w:p>
            <w:pPr>
              <w:spacing w:after="0"/>
            </w:pPr>
            <w:r>
              <w:rPr>
                <w:sz w:val="17"/>
              </w:rPr>
              <w:t>Dockerfile dentro de FaseII</w:t>
            </w:r>
          </w:p>
        </w:tc>
      </w:tr>
      <w:tr>
        <w:trPr>
          <w:cantSplit/>
        </w:trPr>
        <w:tc>
          <w:tcPr>
            <w:tcW w:type="dxa" w:w="5040"/>
            <w:vAlign w:val="center"/>
            <w:tcMar>
              <w:top w:w="90" w:type="dxa"/>
              <w:start w:w="100" w:type="dxa"/>
              <w:bottom w:w="90" w:type="dxa"/>
              <w:end w:w="100" w:type="dxa"/>
            </w:tcMar>
          </w:tcPr>
          <w:p>
            <w:pPr>
              <w:spacing w:after="0"/>
            </w:pPr>
            <w:r>
              <w:rPr>
                <w:b/>
                <w:sz w:val="17"/>
              </w:rPr>
              <w:t>Instance Type</w:t>
            </w:r>
          </w:p>
        </w:tc>
        <w:tc>
          <w:tcPr>
            <w:tcW w:type="dxa" w:w="5040"/>
            <w:vAlign w:val="center"/>
            <w:tcMar>
              <w:top w:w="90" w:type="dxa"/>
              <w:start w:w="100" w:type="dxa"/>
              <w:bottom w:w="90" w:type="dxa"/>
              <w:end w:w="100" w:type="dxa"/>
            </w:tcMar>
          </w:tcPr>
          <w:p>
            <w:pPr>
              <w:spacing w:after="0"/>
            </w:pPr>
            <w:r>
              <w:rPr>
                <w:sz w:val="17"/>
              </w:rPr>
              <w:t>Free · $0 USD/mes, 0.1 CPU, 512 MB RAM</w:t>
            </w:r>
          </w:p>
        </w:tc>
      </w:tr>
      <w:tr>
        <w:trPr>
          <w:cantSplit/>
        </w:trPr>
        <w:tc>
          <w:tcPr>
            <w:tcW w:type="dxa" w:w="5040"/>
            <w:vAlign w:val="center"/>
            <w:tcMar>
              <w:top w:w="90" w:type="dxa"/>
              <w:start w:w="100" w:type="dxa"/>
              <w:bottom w:w="90" w:type="dxa"/>
              <w:end w:w="100" w:type="dxa"/>
            </w:tcMar>
            <w:shd w:fill="F2F6FA"/>
          </w:tcPr>
          <w:p>
            <w:pPr>
              <w:spacing w:after="0"/>
            </w:pPr>
            <w:r>
              <w:rPr>
                <w:b/>
                <w:sz w:val="17"/>
              </w:rPr>
              <w:t>Health Check Path</w:t>
            </w:r>
          </w:p>
        </w:tc>
        <w:tc>
          <w:tcPr>
            <w:tcW w:type="dxa" w:w="5040"/>
            <w:vAlign w:val="center"/>
            <w:tcMar>
              <w:top w:w="90" w:type="dxa"/>
              <w:start w:w="100" w:type="dxa"/>
              <w:bottom w:w="90" w:type="dxa"/>
              <w:end w:w="100" w:type="dxa"/>
            </w:tcMar>
            <w:shd w:fill="F2F6FA"/>
          </w:tcPr>
          <w:p>
            <w:pPr>
              <w:spacing w:after="0"/>
            </w:pPr>
            <w:r>
              <w:rPr>
                <w:sz w:val="17"/>
              </w:rPr>
              <w:t>/health</w:t>
            </w:r>
          </w:p>
        </w:tc>
      </w:tr>
      <w:tr>
        <w:trPr>
          <w:cantSplit/>
        </w:trPr>
        <w:tc>
          <w:tcPr>
            <w:tcW w:type="dxa" w:w="5040"/>
            <w:vAlign w:val="center"/>
            <w:tcMar>
              <w:top w:w="90" w:type="dxa"/>
              <w:start w:w="100" w:type="dxa"/>
              <w:bottom w:w="90" w:type="dxa"/>
              <w:end w:w="100" w:type="dxa"/>
            </w:tcMar>
          </w:tcPr>
          <w:p>
            <w:pPr>
              <w:spacing w:after="0"/>
            </w:pPr>
            <w:r>
              <w:rPr>
                <w:b/>
                <w:sz w:val="17"/>
              </w:rPr>
              <w:t>Auto-Deploy</w:t>
            </w:r>
          </w:p>
        </w:tc>
        <w:tc>
          <w:tcPr>
            <w:tcW w:type="dxa" w:w="5040"/>
            <w:vAlign w:val="center"/>
            <w:tcMar>
              <w:top w:w="90" w:type="dxa"/>
              <w:start w:w="100" w:type="dxa"/>
              <w:bottom w:w="90" w:type="dxa"/>
              <w:end w:w="100" w:type="dxa"/>
            </w:tcMar>
          </w:tcPr>
          <w:p>
            <w:pPr>
              <w:spacing w:after="0"/>
            </w:pPr>
            <w:r>
              <w:rPr>
                <w:sz w:val="17"/>
              </w:rPr>
              <w:t>On Commit</w:t>
            </w:r>
          </w:p>
        </w:tc>
      </w:tr>
      <w:tr>
        <w:trPr>
          <w:cantSplit/>
        </w:trPr>
        <w:tc>
          <w:tcPr>
            <w:tcW w:type="dxa" w:w="5040"/>
            <w:vAlign w:val="center"/>
            <w:tcMar>
              <w:top w:w="90" w:type="dxa"/>
              <w:start w:w="100" w:type="dxa"/>
              <w:bottom w:w="90" w:type="dxa"/>
              <w:end w:w="100" w:type="dxa"/>
            </w:tcMar>
            <w:shd w:fill="F2F6FA"/>
          </w:tcPr>
          <w:p>
            <w:pPr>
              <w:spacing w:after="0"/>
            </w:pPr>
            <w:r>
              <w:rPr>
                <w:b/>
                <w:sz w:val="17"/>
              </w:rPr>
              <w:t>Environment Variables</w:t>
            </w:r>
          </w:p>
        </w:tc>
        <w:tc>
          <w:tcPr>
            <w:tcW w:type="dxa" w:w="5040"/>
            <w:vAlign w:val="center"/>
            <w:tcMar>
              <w:top w:w="90" w:type="dxa"/>
              <w:start w:w="100" w:type="dxa"/>
              <w:bottom w:w="90" w:type="dxa"/>
              <w:end w:w="100" w:type="dxa"/>
            </w:tcMar>
            <w:shd w:fill="F2F6FA"/>
          </w:tcPr>
          <w:p>
            <w:pPr>
              <w:spacing w:after="0"/>
            </w:pPr>
            <w:r>
              <w:rPr>
                <w:sz w:val="17"/>
              </w:rPr>
              <w:t>No se configuraron variables adicionales</w:t>
            </w:r>
          </w:p>
        </w:tc>
      </w:tr>
      <w:tr>
        <w:trPr>
          <w:cantSplit/>
        </w:trPr>
        <w:tc>
          <w:tcPr>
            <w:tcW w:type="dxa" w:w="5040"/>
            <w:vAlign w:val="center"/>
            <w:tcMar>
              <w:top w:w="90" w:type="dxa"/>
              <w:start w:w="100" w:type="dxa"/>
              <w:bottom w:w="90" w:type="dxa"/>
              <w:end w:w="100" w:type="dxa"/>
            </w:tcMar>
          </w:tcPr>
          <w:p>
            <w:pPr>
              <w:spacing w:after="0"/>
            </w:pPr>
            <w:r>
              <w:rPr>
                <w:b/>
                <w:sz w:val="17"/>
              </w:rPr>
              <w:t>Registry Credential</w:t>
            </w:r>
          </w:p>
        </w:tc>
        <w:tc>
          <w:tcPr>
            <w:tcW w:type="dxa" w:w="5040"/>
            <w:vAlign w:val="center"/>
            <w:tcMar>
              <w:top w:w="90" w:type="dxa"/>
              <w:start w:w="100" w:type="dxa"/>
              <w:bottom w:w="90" w:type="dxa"/>
              <w:end w:w="100" w:type="dxa"/>
            </w:tcMar>
          </w:tcPr>
          <w:p>
            <w:pPr>
              <w:spacing w:after="0"/>
            </w:pPr>
            <w:r>
              <w:rPr>
                <w:sz w:val="17"/>
              </w:rPr>
              <w:t>No credential</w:t>
            </w:r>
          </w:p>
        </w:tc>
      </w:tr>
      <w:tr>
        <w:trPr>
          <w:cantSplit/>
        </w:trPr>
        <w:tc>
          <w:tcPr>
            <w:tcW w:type="dxa" w:w="5040"/>
            <w:vAlign w:val="center"/>
            <w:tcMar>
              <w:top w:w="90" w:type="dxa"/>
              <w:start w:w="100" w:type="dxa"/>
              <w:bottom w:w="90" w:type="dxa"/>
              <w:end w:w="100" w:type="dxa"/>
            </w:tcMar>
            <w:shd w:fill="F2F6FA"/>
          </w:tcPr>
          <w:p>
            <w:pPr>
              <w:spacing w:after="0"/>
            </w:pPr>
            <w:r>
              <w:rPr>
                <w:b/>
                <w:sz w:val="17"/>
              </w:rPr>
              <w:t>Docker Command / Pre-Deploy Command</w:t>
            </w:r>
          </w:p>
        </w:tc>
        <w:tc>
          <w:tcPr>
            <w:tcW w:type="dxa" w:w="5040"/>
            <w:vAlign w:val="center"/>
            <w:tcMar>
              <w:top w:w="90" w:type="dxa"/>
              <w:start w:w="100" w:type="dxa"/>
              <w:bottom w:w="90" w:type="dxa"/>
              <w:end w:w="100" w:type="dxa"/>
            </w:tcMar>
            <w:shd w:fill="F2F6FA"/>
          </w:tcPr>
          <w:p>
            <w:pPr>
              <w:spacing w:after="0"/>
            </w:pPr>
            <w:r>
              <w:rPr>
                <w:sz w:val="17"/>
              </w:rPr>
              <w:t>Vacíos; se utilizan las instrucciones del Dockerfile</w:t>
            </w:r>
          </w:p>
        </w:tc>
      </w:tr>
    </w:tbl>
    <w:p>
      <w:pPr>
        <w:spacing w:after="20"/>
      </w:pPr>
    </w:p>
    <w:p>
      <w:r>
        <w:t>La pantalla final de Render mostró el plan Free seleccionado. No se eligió el plan de USD 7/mes. La configuración efectiva fue validada por el despliegue exitoso: Render encontró el Dockerfile, construyó la imagen y ejecutó el contenedor.</w:t>
      </w:r>
    </w:p>
    <w:p>
      <w:pPr>
        <w:pStyle w:val="Heading1"/>
      </w:pPr>
      <w:r>
        <w:t>6. URLs de operación</w:t>
      </w:r>
    </w:p>
    <w:p>
      <w:r>
        <w:rPr>
          <w:b/>
        </w:rPr>
        <w:t xml:space="preserve">Aplicación web: </w:t>
      </w:r>
      <w:hyperlink r:id="rId11">
        <w:r>
          <w:rPr>
            <w:color w:val="1769AA"/>
            <w:u w:val="single"/>
          </w:rPr>
          <w:t>https://chatbot-cima-fase2.onrender.com/</w:t>
        </w:r>
      </w:hyperlink>
    </w:p>
    <w:p>
      <w:r>
        <w:rPr>
          <w:b/>
        </w:rPr>
        <w:t xml:space="preserve">Documentación interactiva Swagger: </w:t>
      </w:r>
      <w:hyperlink r:id="rId14">
        <w:r>
          <w:rPr>
            <w:color w:val="1769AA"/>
            <w:u w:val="single"/>
          </w:rPr>
          <w:t>https://chatbot-cima-fase2.onrender.com/docs</w:t>
        </w:r>
      </w:hyperlink>
    </w:p>
    <w:p>
      <w:r>
        <w:rPr>
          <w:b/>
        </w:rPr>
        <w:t xml:space="preserve">Health Check: </w:t>
      </w:r>
      <w:hyperlink r:id="rId15">
        <w:r>
          <w:rPr>
            <w:color w:val="1769AA"/>
            <w:u w:val="single"/>
          </w:rPr>
          <w:t>https://chatbot-cima-fase2.onrender.com/health</w:t>
        </w:r>
      </w:hyperlink>
    </w:p>
    <w:p>
      <w:r>
        <w:rPr>
          <w:b/>
        </w:rPr>
        <w:t xml:space="preserve">Repositorio GitHub: </w:t>
      </w:r>
      <w:hyperlink r:id="rId12">
        <w:r>
          <w:rPr>
            <w:color w:val="1769AA"/>
            <w:u w:val="single"/>
          </w:rPr>
          <w:t>https://github.com/alfredosalazar-ai/deep-learning-experiments</w:t>
        </w:r>
      </w:hyperlink>
    </w:p>
    <w:p>
      <w:pPr>
        <w:pStyle w:val="Heading1"/>
      </w:pPr>
      <w:r>
        <w:t>7. Evidencia de despliegue exitoso</w:t>
      </w:r>
    </w:p>
    <w:p>
      <w:r>
        <w:t>El log de despliegue correspondiente al commit 4933ce629b4afa90e9160a757648af51ddf87227 muestra:</w:t>
      </w:r>
    </w:p>
    <w:p>
      <w:pPr>
        <w:pStyle w:val="ListBullet"/>
      </w:pPr>
      <w:r>
        <w:t>Clonado del repositorio y checkout de la rama main en el commit indicado.</w:t>
      </w:r>
    </w:p>
    <w:p>
      <w:pPr>
        <w:pStyle w:val="ListBullet"/>
      </w:pPr>
      <w:r>
        <w:t>Construcción de la imagen basada en python:3.12-slim.</w:t>
      </w:r>
    </w:p>
    <w:p>
      <w:pPr>
        <w:pStyle w:val="ListBullet"/>
      </w:pPr>
      <w:r>
        <w:t>Instalación de FastAPI 0.115.12, Uvicorn 0.34.0, scikit-learn 1.6.1, NumPy 1.26.4, SciPy 1.15.2 y joblib 1.6.0.</w:t>
      </w:r>
    </w:p>
    <w:p>
      <w:pPr>
        <w:pStyle w:val="ListBullet"/>
      </w:pPr>
      <w:r>
        <w:t>Carga del modelo desde /app/modelos/Regresion_Logistica.joblib.</w:t>
      </w:r>
    </w:p>
    <w:p>
      <w:pPr>
        <w:pStyle w:val="ListBullet"/>
      </w:pPr>
      <w:r>
        <w:t>Arranque de Uvicorn en 0.0.0.0:10000 y respuesta HTTP 200 de /health.</w:t>
      </w:r>
    </w:p>
    <w:p>
      <w:pPr>
        <w:pStyle w:val="ListBullet"/>
      </w:pPr>
      <w:r>
        <w:t>Confirmación de Render: “Your service is live”.</w:t>
      </w:r>
    </w:p>
    <w:p>
      <w:pPr>
        <w:jc w:val="center"/>
      </w:pPr>
      <w:r>
        <w:drawing>
          <wp:inline xmlns:a="http://schemas.openxmlformats.org/drawingml/2006/main" xmlns:pic="http://schemas.openxmlformats.org/drawingml/2006/picture">
            <wp:extent cx="6035040" cy="3748326"/>
            <wp:docPr id="2" name="Picture 2"/>
            <wp:cNvGraphicFramePr>
              <a:graphicFrameLocks noChangeAspect="1"/>
            </wp:cNvGraphicFramePr>
            <a:graphic>
              <a:graphicData uri="http://schemas.openxmlformats.org/drawingml/2006/picture">
                <pic:pic>
                  <pic:nvPicPr>
                    <pic:cNvPr id="0" name="render_deployment_logs.png"/>
                    <pic:cNvPicPr/>
                  </pic:nvPicPr>
                  <pic:blipFill>
                    <a:blip r:embed="rId16"/>
                    <a:stretch>
                      <a:fillRect/>
                    </a:stretch>
                  </pic:blipFill>
                  <pic:spPr>
                    <a:xfrm>
                      <a:off x="0" y="0"/>
                      <a:ext cx="6035040" cy="3748326"/>
                    </a:xfrm>
                    <a:prstGeom prst="rect"/>
                  </pic:spPr>
                </pic:pic>
              </a:graphicData>
            </a:graphic>
          </wp:inline>
        </w:drawing>
      </w:r>
    </w:p>
    <w:p>
      <w:pPr>
        <w:jc w:val="center"/>
      </w:pPr>
      <w:r>
        <w:rPr>
          <w:i/>
          <w:color w:val="5B6573"/>
          <w:sz w:val="16"/>
        </w:rPr>
        <w:t>Figura 1. Extracto visual de los logs de Render.</w:t>
      </w:r>
    </w:p>
    <w:p>
      <w:pPr>
        <w:pStyle w:val="Heading1"/>
      </w:pPr>
      <w:r>
        <w:t>8. Verificación posterior al despliegue</w:t>
      </w:r>
    </w:p>
    <w:p>
      <w:pPr>
        <w:pStyle w:val="ListNumber"/>
      </w:pPr>
      <w:r>
        <w:t>Abrir la URL pública de la aplicación y confirmar que carga el formulario.</w:t>
      </w:r>
    </w:p>
    <w:p>
      <w:pPr>
        <w:pStyle w:val="ListNumber"/>
      </w:pPr>
      <w:r>
        <w:t>Abrir /health y verificar HTTP 200, status=ok y model_loaded=true.</w:t>
      </w:r>
    </w:p>
    <w:p>
      <w:pPr>
        <w:pStyle w:val="ListNumber"/>
      </w:pPr>
      <w:r>
        <w:t>Abrir /docs y comprobar que estén disponibles GET /health y POST /predict.</w:t>
      </w:r>
    </w:p>
    <w:p>
      <w:pPr>
        <w:pStyle w:val="ListNumber"/>
      </w:pPr>
      <w:r>
        <w:t>Enviar una consulta sintética con el esquema {"texto": "..."} y revisar la respuesta JSON.</w:t>
      </w:r>
    </w:p>
    <w:p>
      <w:pPr>
        <w:pStyle w:val="ListNumber"/>
      </w:pPr>
      <w:r>
        <w:t>Confirmar que la decisión de enrutamiento sea coherente con el umbral y que las consultas no aceptadas automáticamente requieran revisión humana.</w:t>
      </w:r>
    </w:p>
    <w:p>
      <w:pPr>
        <w:pStyle w:val="ListNumber"/>
      </w:pPr>
      <w:r>
        <w:t>Conservar capturas de las solicitudes, códigos HTTP y respuestas.</w:t>
      </w:r>
    </w:p>
    <w:p>
      <w:pPr>
        <w:pStyle w:val="Heading1"/>
      </w:pPr>
      <w:r>
        <w:t>9. Actualización del servicio</w:t>
      </w:r>
    </w:p>
    <w:p>
      <w:pPr>
        <w:pStyle w:val="ListNumber"/>
      </w:pPr>
      <w:r>
        <w:t>Realizar el cambio en la carpeta FaseII del repositorio GitHub.</w:t>
      </w:r>
    </w:p>
    <w:p>
      <w:pPr>
        <w:pStyle w:val="ListNumber"/>
      </w:pPr>
      <w:r>
        <w:t>Revisar el commit y confirmar que los archivos estén en la rama main.</w:t>
      </w:r>
    </w:p>
    <w:p>
      <w:pPr>
        <w:pStyle w:val="ListNumber"/>
      </w:pPr>
      <w:r>
        <w:t>Abrir GitHub → Actions y esperar el workflow “Fase II - prueba y construcción Docker”.</w:t>
      </w:r>
    </w:p>
    <w:p>
      <w:pPr>
        <w:pStyle w:val="ListNumber"/>
      </w:pPr>
      <w:r>
        <w:t>Verificar que las pruebas, el build Docker y la prueba del contenedor terminen en verde.</w:t>
      </w:r>
    </w:p>
    <w:p>
      <w:pPr>
        <w:pStyle w:val="ListNumber"/>
      </w:pPr>
      <w:r>
        <w:t>Render está configurado con Auto-Deploy On Commit; al detectar cambios relevantes en la carpeta del servicio, inicia una nueva construcción y despliegue.</w:t>
      </w:r>
    </w:p>
    <w:p>
      <w:pPr>
        <w:pStyle w:val="ListNumber"/>
      </w:pPr>
      <w:r>
        <w:t>Abrir Render → chatbot-cima-fase2 → Events/Logs y verificar “Deploy succeeded / Live”, carga del modelo y /health HTTP 200.</w:t>
      </w:r>
    </w:p>
    <w:p>
      <w:pPr>
        <w:pStyle w:val="Heading1"/>
      </w:pPr>
      <w:r>
        <w:t>10. Suspensión por inactividad y reactivación</w:t>
      </w:r>
    </w:p>
    <w:p>
      <w:r>
        <w:t>El servicio está en el plan Free. En este plan, Render suspende automáticamente la instancia después de un periodo de inactividad (aproximadamente 15 minutos sin tráfico entrante). La URL se conserva. Cuando se realiza una nueva solicitud, Render reactiva la instancia; el primer acceso puede tardar más que una solicitud ordinaria.</w:t>
      </w:r>
    </w:p>
    <w:p>
      <w:pPr>
        <w:pStyle w:val="ListBullet"/>
      </w:pPr>
      <w:r>
        <w:t>No es necesario mantener la aplicación consultando /health desde un monitor externo para la demostración académica.</w:t>
      </w:r>
    </w:p>
    <w:p>
      <w:pPr>
        <w:pStyle w:val="ListBullet"/>
      </w:pPr>
      <w:r>
        <w:t>Para validar en una fecha posterior, abrir la URL pública y esperar el arranque si la instancia estaba suspendida.</w:t>
      </w:r>
    </w:p>
    <w:p>
      <w:pPr>
        <w:pStyle w:val="ListBullet"/>
      </w:pPr>
      <w:r>
        <w:t>Después del arranque, repetir /health, /docs y al menos una solicitud POST /predict.</w:t>
      </w:r>
    </w:p>
    <w:p>
      <w:pPr>
        <w:pStyle w:val="ListBullet"/>
      </w:pPr>
      <w:r>
        <w:t>No seleccionar un plan de pago. La configuración documentada es Free, USD 0/mes.</w:t>
      </w:r>
    </w:p>
    <w:tbl>
      <w:tblPr>
        <w:tblW w:type="auto" w:w="0"/>
        <w:jc w:val="center"/>
        <w:tblLook w:firstColumn="1" w:firstRow="1" w:lastColumn="0" w:lastRow="0" w:noHBand="0" w:noVBand="1" w:val="04A0"/>
      </w:tblPr>
      <w:tblGrid>
        <w:gridCol w:w="10080"/>
      </w:tblGrid>
      <w:tr>
        <w:tc>
          <w:tcPr>
            <w:tcW w:type="dxa" w:w="10080"/>
            <w:shd w:fill="FFF7E6"/>
            <w:tcMar>
              <w:top w:w="160" w:type="dxa"/>
              <w:start w:w="200" w:type="dxa"/>
              <w:bottom w:w="160" w:type="dxa"/>
              <w:end w:w="200" w:type="dxa"/>
            </w:tcMar>
          </w:tcPr>
          <w:p>
            <w:r>
              <w:rPr>
                <w:b/>
                <w:color w:val="B7791F"/>
              </w:rPr>
              <w:t xml:space="preserve">Disponibilidad  </w:t>
            </w:r>
            <w:r>
              <w:t>El plan gratuito no ofrece disponibilidad continua ni persistencia de disco. No debe utilizarse para operaciones productivas, transacciones bancarias ni tratamiento de información sensible.</w:t>
            </w:r>
          </w:p>
        </w:tc>
      </w:tr>
    </w:tbl>
    <w:p>
      <w:pPr>
        <w:spacing w:after="20"/>
      </w:pPr>
    </w:p>
    <w:p>
      <w:pPr>
        <w:pStyle w:val="Heading1"/>
      </w:pPr>
      <w:r>
        <w:t>11. Seguridad y límites de uso</w:t>
      </w:r>
    </w:p>
    <w:p>
      <w:pPr>
        <w:pStyle w:val="ListBullet"/>
      </w:pPr>
      <w:r>
        <w:t>Utilizar exclusivamente consultas sintéticas en pruebas y demostraciones.</w:t>
      </w:r>
    </w:p>
    <w:p>
      <w:pPr>
        <w:pStyle w:val="ListBullet"/>
      </w:pPr>
      <w:r>
        <w:t>No introducir información bancaria real, datos personales, credenciales ni secretos.</w:t>
      </w:r>
    </w:p>
    <w:p>
      <w:pPr>
        <w:pStyle w:val="ListBullet"/>
      </w:pPr>
      <w:r>
        <w:t>La predicción es informativa: no confirma transacciones ni autoriza pagos.</w:t>
      </w:r>
    </w:p>
    <w:p>
      <w:pPr>
        <w:pStyle w:val="ListBullet"/>
      </w:pPr>
      <w:r>
        <w:t>La clasificación del modelo no reemplaza controles deterministas ni revisión humana.</w:t>
      </w:r>
    </w:p>
    <w:p>
      <w:pPr>
        <w:pStyle w:val="ListBullet"/>
      </w:pPr>
      <w:r>
        <w:t>Mantener el plan gratuito y no habilitar recursos pagados sin autorización explícita.</w:t>
      </w:r>
    </w:p>
    <w:p>
      <w:pPr>
        <w:pStyle w:val="Heading1"/>
      </w:pPr>
      <w:r>
        <w:t>12. Diagnóstico básico</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5040"/>
            <w:shd w:fill="12365A"/>
            <w:tcMar>
              <w:top w:w="100" w:type="dxa"/>
              <w:start w:w="100" w:type="dxa"/>
              <w:bottom w:w="100" w:type="dxa"/>
              <w:end w:w="100" w:type="dxa"/>
            </w:tcMar>
            <w:vAlign w:val="center"/>
          </w:tcPr>
          <w:p>
            <w:r>
              <w:rPr>
                <w:b/>
                <w:color w:val="FFFFFF"/>
                <w:sz w:val="17"/>
              </w:rPr>
              <w:t>Síntoma</w:t>
            </w:r>
          </w:p>
        </w:tc>
        <w:tc>
          <w:tcPr>
            <w:tcW w:type="dxa" w:w="5040"/>
            <w:shd w:fill="12365A"/>
            <w:tcMar>
              <w:top w:w="100" w:type="dxa"/>
              <w:start w:w="100" w:type="dxa"/>
              <w:bottom w:w="100" w:type="dxa"/>
              <w:end w:w="100" w:type="dxa"/>
            </w:tcMar>
            <w:vAlign w:val="center"/>
          </w:tcPr>
          <w:p>
            <w:r>
              <w:rPr>
                <w:b/>
                <w:color w:val="FFFFFF"/>
                <w:sz w:val="17"/>
              </w:rPr>
              <w:t>Comprobación / acción</w:t>
            </w:r>
          </w:p>
        </w:tc>
      </w:tr>
      <w:tr>
        <w:trPr>
          <w:cantSplit/>
        </w:trPr>
        <w:tc>
          <w:tcPr>
            <w:tcW w:type="dxa" w:w="5040"/>
            <w:vAlign w:val="center"/>
            <w:tcMar>
              <w:top w:w="90" w:type="dxa"/>
              <w:start w:w="100" w:type="dxa"/>
              <w:bottom w:w="90" w:type="dxa"/>
              <w:end w:w="100" w:type="dxa"/>
            </w:tcMar>
            <w:shd w:fill="F2F6FA"/>
          </w:tcPr>
          <w:p>
            <w:pPr>
              <w:spacing w:after="0"/>
            </w:pPr>
            <w:r>
              <w:rPr>
                <w:b/>
                <w:sz w:val="17"/>
              </w:rPr>
              <w:t>Render no inicia el contenedor</w:t>
            </w:r>
          </w:p>
        </w:tc>
        <w:tc>
          <w:tcPr>
            <w:tcW w:type="dxa" w:w="5040"/>
            <w:vAlign w:val="center"/>
            <w:tcMar>
              <w:top w:w="90" w:type="dxa"/>
              <w:start w:w="100" w:type="dxa"/>
              <w:bottom w:w="90" w:type="dxa"/>
              <w:end w:w="100" w:type="dxa"/>
            </w:tcMar>
            <w:shd w:fill="F2F6FA"/>
          </w:tcPr>
          <w:p>
            <w:pPr>
              <w:spacing w:after="0"/>
            </w:pPr>
            <w:r>
              <w:rPr>
                <w:sz w:val="17"/>
              </w:rPr>
              <w:t>Revisar Build Logs; confirmar Root Directory FaseII y presencia del Dockerfile, requirements.txt, backend, frontend y modelos.</w:t>
            </w:r>
          </w:p>
        </w:tc>
      </w:tr>
      <w:tr>
        <w:trPr>
          <w:cantSplit/>
        </w:trPr>
        <w:tc>
          <w:tcPr>
            <w:tcW w:type="dxa" w:w="5040"/>
            <w:vAlign w:val="center"/>
            <w:tcMar>
              <w:top w:w="90" w:type="dxa"/>
              <w:start w:w="100" w:type="dxa"/>
              <w:bottom w:w="90" w:type="dxa"/>
              <w:end w:w="100" w:type="dxa"/>
            </w:tcMar>
          </w:tcPr>
          <w:p>
            <w:pPr>
              <w:spacing w:after="0"/>
            </w:pPr>
            <w:r>
              <w:rPr>
                <w:b/>
                <w:sz w:val="17"/>
              </w:rPr>
              <w:t>/health devuelve error</w:t>
            </w:r>
          </w:p>
        </w:tc>
        <w:tc>
          <w:tcPr>
            <w:tcW w:type="dxa" w:w="5040"/>
            <w:vAlign w:val="center"/>
            <w:tcMar>
              <w:top w:w="90" w:type="dxa"/>
              <w:start w:w="100" w:type="dxa"/>
              <w:bottom w:w="90" w:type="dxa"/>
              <w:end w:w="100" w:type="dxa"/>
            </w:tcMar>
          </w:tcPr>
          <w:p>
            <w:pPr>
              <w:spacing w:after="0"/>
            </w:pPr>
            <w:r>
              <w:rPr>
                <w:sz w:val="17"/>
              </w:rPr>
              <w:t>Revisar Runtime Logs; confirmar que el modelo se haya cargado y que el proceso Uvicorn esté activo.</w:t>
            </w:r>
          </w:p>
        </w:tc>
      </w:tr>
      <w:tr>
        <w:trPr>
          <w:cantSplit/>
        </w:trPr>
        <w:tc>
          <w:tcPr>
            <w:tcW w:type="dxa" w:w="5040"/>
            <w:vAlign w:val="center"/>
            <w:tcMar>
              <w:top w:w="90" w:type="dxa"/>
              <w:start w:w="100" w:type="dxa"/>
              <w:bottom w:w="90" w:type="dxa"/>
              <w:end w:w="100" w:type="dxa"/>
            </w:tcMar>
            <w:shd w:fill="F2F6FA"/>
          </w:tcPr>
          <w:p>
            <w:pPr>
              <w:spacing w:after="0"/>
            </w:pPr>
            <w:r>
              <w:rPr>
                <w:b/>
                <w:sz w:val="17"/>
              </w:rPr>
              <w:t>Primera solicitud tarda</w:t>
            </w:r>
          </w:p>
        </w:tc>
        <w:tc>
          <w:tcPr>
            <w:tcW w:type="dxa" w:w="5040"/>
            <w:vAlign w:val="center"/>
            <w:tcMar>
              <w:top w:w="90" w:type="dxa"/>
              <w:start w:w="100" w:type="dxa"/>
              <w:bottom w:w="90" w:type="dxa"/>
              <w:end w:w="100" w:type="dxa"/>
            </w:tcMar>
            <w:shd w:fill="F2F6FA"/>
          </w:tcPr>
          <w:p>
            <w:pPr>
              <w:spacing w:after="0"/>
            </w:pPr>
            <w:r>
              <w:rPr>
                <w:sz w:val="17"/>
              </w:rPr>
              <w:t>Puede ser el cold start del plan Free tras la suspensión por inactividad; esperar y reintentar.</w:t>
            </w:r>
          </w:p>
        </w:tc>
      </w:tr>
      <w:tr>
        <w:trPr>
          <w:cantSplit/>
        </w:trPr>
        <w:tc>
          <w:tcPr>
            <w:tcW w:type="dxa" w:w="5040"/>
            <w:vAlign w:val="center"/>
            <w:tcMar>
              <w:top w:w="90" w:type="dxa"/>
              <w:start w:w="100" w:type="dxa"/>
              <w:bottom w:w="90" w:type="dxa"/>
              <w:end w:w="100" w:type="dxa"/>
            </w:tcMar>
          </w:tcPr>
          <w:p>
            <w:pPr>
              <w:spacing w:after="0"/>
            </w:pPr>
            <w:r>
              <w:rPr>
                <w:b/>
                <w:sz w:val="17"/>
              </w:rPr>
              <w:t>/docs no carga</w:t>
            </w:r>
          </w:p>
        </w:tc>
        <w:tc>
          <w:tcPr>
            <w:tcW w:type="dxa" w:w="5040"/>
            <w:vAlign w:val="center"/>
            <w:tcMar>
              <w:top w:w="90" w:type="dxa"/>
              <w:start w:w="100" w:type="dxa"/>
              <w:bottom w:w="90" w:type="dxa"/>
              <w:end w:w="100" w:type="dxa"/>
            </w:tcMar>
          </w:tcPr>
          <w:p>
            <w:pPr>
              <w:spacing w:after="0"/>
            </w:pPr>
            <w:r>
              <w:rPr>
                <w:sz w:val="17"/>
              </w:rPr>
              <w:t>Confirmar que el servicio aparece Live y que la URL usa HTTPS y termina en /docs.</w:t>
            </w:r>
          </w:p>
        </w:tc>
      </w:tr>
      <w:tr>
        <w:trPr>
          <w:cantSplit/>
        </w:trPr>
        <w:tc>
          <w:tcPr>
            <w:tcW w:type="dxa" w:w="5040"/>
            <w:vAlign w:val="center"/>
            <w:tcMar>
              <w:top w:w="90" w:type="dxa"/>
              <w:start w:w="100" w:type="dxa"/>
              <w:bottom w:w="90" w:type="dxa"/>
              <w:end w:w="100" w:type="dxa"/>
            </w:tcMar>
            <w:shd w:fill="F2F6FA"/>
          </w:tcPr>
          <w:p>
            <w:pPr>
              <w:spacing w:after="0"/>
            </w:pPr>
            <w:r>
              <w:rPr>
                <w:b/>
                <w:sz w:val="17"/>
              </w:rPr>
              <w:t>Favicon 404</w:t>
            </w:r>
          </w:p>
        </w:tc>
        <w:tc>
          <w:tcPr>
            <w:tcW w:type="dxa" w:w="5040"/>
            <w:vAlign w:val="center"/>
            <w:tcMar>
              <w:top w:w="90" w:type="dxa"/>
              <w:start w:w="100" w:type="dxa"/>
              <w:bottom w:w="90" w:type="dxa"/>
              <w:end w:w="100" w:type="dxa"/>
            </w:tcMar>
            <w:shd w:fill="F2F6FA"/>
          </w:tcPr>
          <w:p>
            <w:pPr>
              <w:spacing w:after="0"/>
            </w:pPr>
            <w:r>
              <w:rPr>
                <w:sz w:val="17"/>
              </w:rPr>
              <w:t>Recurso visual accesorio no incluido; no impide usar la API.</w:t>
            </w:r>
          </w:p>
        </w:tc>
      </w:tr>
    </w:tbl>
    <w:sectPr w:rsidR="00FC693F" w:rsidRPr="0006063C" w:rsidSect="00034616">
      <w:headerReference w:type="default" r:id="rId9"/>
      <w:footerReference w:type="default" r:id="rId10"/>
      <w:pgSz w:w="12240" w:h="15840"/>
      <w:pgMar w:top="979"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Proyecto académico · Implementación en la nube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69AA"/>
        <w:sz w:val="16"/>
      </w:rPr>
      <w:t>CHATBOT CIMA  |  FASE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834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2365A"/>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69A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F8B8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236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hatbot-cima-fase2.onrender.com/" TargetMode="External"/><Relationship Id="rId12" Type="http://schemas.openxmlformats.org/officeDocument/2006/relationships/hyperlink" Target="https://github.com/alfredosalazar-ai/deep-learning-experiments" TargetMode="External"/><Relationship Id="rId13" Type="http://schemas.openxmlformats.org/officeDocument/2006/relationships/image" Target="media/image1.png"/><Relationship Id="rId14" Type="http://schemas.openxmlformats.org/officeDocument/2006/relationships/hyperlink" Target="https://chatbot-cima-fase2.onrender.com/docs" TargetMode="External"/><Relationship Id="rId15" Type="http://schemas.openxmlformats.org/officeDocument/2006/relationships/hyperlink" Target="https://chatbot-cima-fase2.onrender.com/health" TargetMode="External"/><Relationship Id="rId1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