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Display" w:hAnsi="Aptos Display"/>
          <w:b/>
          <w:color w:val="12365A"/>
          <w:sz w:val="64"/>
        </w:rPr>
        <w:t>CHATBOT CIMA</w:t>
      </w:r>
    </w:p>
    <w:p>
      <w:pPr>
        <w:spacing w:after="320"/>
      </w:pPr>
      <w:r>
        <w:rPr>
          <w:b/>
          <w:color w:val="0F8B8D"/>
          <w:sz w:val="24"/>
        </w:rPr>
        <w:t>FASE II  /  VALIDACIÓN Y PRUEBAS</w:t>
      </w:r>
    </w:p>
    <w:p>
      <w:pPr>
        <w:spacing w:after="560"/>
      </w:pPr>
      <w:r>
        <w:rPr>
          <w:color w:val="5B6573"/>
          <w:sz w:val="32"/>
        </w:rPr>
        <w:t>Resultados de integración continua, construcción de contenedor, despliegue y pruebas funcionales de API e interfaz.</w:t>
      </w:r>
    </w:p>
    <w:tbl>
      <w:tblPr>
        <w:tblW w:type="auto" w:w="0"/>
        <w:jc w:val="left"/>
        <w:tblLayout w:type="fixed"/>
        <w:tblLook w:firstColumn="1" w:firstRow="1" w:lastColumn="0" w:lastRow="0" w:noHBand="0" w:noVBand="1" w:val="04A0"/>
      </w:tblPr>
      <w:tblGrid>
        <w:gridCol w:w="5040"/>
        <w:gridCol w:w="5040"/>
      </w:tblGrid>
      <w:tr>
        <w:tc>
          <w:tcPr>
            <w:tcW w:type="dxa" w:w="2160"/>
            <w:tcMar>
              <w:top w:w="130" w:type="dxa"/>
              <w:start w:w="150" w:type="dxa"/>
              <w:bottom w:w="130" w:type="dxa"/>
              <w:end w:w="150" w:type="dxa"/>
            </w:tcMar>
            <w:shd w:fill="12365A"/>
          </w:tcPr>
          <w:p>
            <w:r>
              <w:rPr>
                <w:b/>
                <w:color w:val="FFFFFF"/>
                <w:sz w:val="18"/>
              </w:rPr>
              <w:t>Aplicación</w:t>
            </w:r>
          </w:p>
        </w:tc>
        <w:tc>
          <w:tcPr>
            <w:tcW w:type="dxa" w:w="8064"/>
            <w:tcMar>
              <w:top w:w="130" w:type="dxa"/>
              <w:start w:w="150" w:type="dxa"/>
              <w:bottom w:w="130" w:type="dxa"/>
              <w:end w:w="150" w:type="dxa"/>
            </w:tcMar>
            <w:shd w:fill="EAF2F8"/>
          </w:tcPr>
          <w:p>
            <w:r>
              <w:rPr>
                <w:sz w:val="19"/>
              </w:rPr>
              <w:t>CHATBOT CIMA — clasificador NLP de consultas operativas</w:t>
            </w:r>
          </w:p>
        </w:tc>
      </w:tr>
      <w:tr>
        <w:tc>
          <w:tcPr>
            <w:tcW w:type="dxa" w:w="2160"/>
            <w:tcMar>
              <w:top w:w="130" w:type="dxa"/>
              <w:start w:w="150" w:type="dxa"/>
              <w:bottom w:w="130" w:type="dxa"/>
              <w:end w:w="150" w:type="dxa"/>
            </w:tcMar>
            <w:shd w:fill="12365A"/>
          </w:tcPr>
          <w:p>
            <w:r>
              <w:rPr>
                <w:b/>
                <w:color w:val="FFFFFF"/>
                <w:sz w:val="18"/>
              </w:rPr>
              <w:t>Despliegue</w:t>
            </w:r>
          </w:p>
        </w:tc>
        <w:tc>
          <w:tcPr>
            <w:tcW w:type="dxa" w:w="8064"/>
            <w:tcMar>
              <w:top w:w="130" w:type="dxa"/>
              <w:start w:w="150" w:type="dxa"/>
              <w:bottom w:w="130" w:type="dxa"/>
              <w:end w:w="150" w:type="dxa"/>
            </w:tcMar>
            <w:shd w:fill="EAF2F8"/>
          </w:tcPr>
          <w:p>
            <w:r>
              <w:rPr>
                <w:sz w:val="19"/>
              </w:rPr>
              <w:t>Render · Docker · FastAPI</w:t>
            </w:r>
          </w:p>
        </w:tc>
      </w:tr>
      <w:tr>
        <w:tc>
          <w:tcPr>
            <w:tcW w:type="dxa" w:w="2160"/>
            <w:tcMar>
              <w:top w:w="130" w:type="dxa"/>
              <w:start w:w="150" w:type="dxa"/>
              <w:bottom w:w="130" w:type="dxa"/>
              <w:end w:w="150" w:type="dxa"/>
            </w:tcMar>
            <w:shd w:fill="12365A"/>
          </w:tcPr>
          <w:p>
            <w:r>
              <w:rPr>
                <w:b/>
                <w:color w:val="FFFFFF"/>
                <w:sz w:val="18"/>
              </w:rPr>
              <w:t>Fecha de corte</w:t>
            </w:r>
          </w:p>
        </w:tc>
        <w:tc>
          <w:tcPr>
            <w:tcW w:type="dxa" w:w="8064"/>
            <w:tcMar>
              <w:top w:w="130" w:type="dxa"/>
              <w:start w:w="150" w:type="dxa"/>
              <w:bottom w:w="130" w:type="dxa"/>
              <w:end w:w="150" w:type="dxa"/>
            </w:tcMar>
            <w:shd w:fill="EAF2F8"/>
          </w:tcPr>
          <w:p>
            <w:r>
              <w:rPr>
                <w:sz w:val="19"/>
              </w:rPr>
              <w:t>31 de octubre de 2026</w:t>
            </w:r>
          </w:p>
        </w:tc>
      </w:tr>
    </w:tbl>
    <w:p>
      <w:pPr>
        <w:spacing w:before="640"/>
      </w:pPr>
      <w:r>
        <w:rPr>
          <w:b/>
        </w:rPr>
        <w:t xml:space="preserve">URL pública: </w:t>
      </w:r>
      <w:hyperlink r:id="rId11">
        <w:r>
          <w:rPr>
            <w:color w:val="1769AA"/>
            <w:u w:val="single"/>
          </w:rPr>
          <w:t>https://chatbot-cima-fase2.onrender.com/</w:t>
        </w:r>
      </w:hyperlink>
    </w:p>
    <w:p>
      <w:hyperlink r:id="rId12">
        <w:r>
          <w:rPr>
            <w:color w:val="1769AA"/>
            <w:u w:val="single"/>
          </w:rPr>
          <w:t>https://github.com/alfredosalazar-ai/deep-learning-experiments</w:t>
        </w:r>
      </w:hyperlink>
    </w:p>
    <w:p>
      <w:r>
        <w:br w:type="page"/>
      </w:r>
    </w:p>
    <w:p>
      <w:pPr>
        <w:pStyle w:val="Heading1"/>
      </w:pPr>
      <w:r>
        <w:t>1. Resumen ejecutivo</w:t>
      </w:r>
    </w:p>
    <w:p>
      <w:r>
        <w:t>La Fase II de CHATBOT CIMA implementa y despliega en la nube un prototipo académico de clasificación de consultas operativas mediante procesamiento de lenguaje natural. La aplicación integra una interfaz web, una API desarrollada con FastAPI y el Pipeline de Regresión Logística entrenado en la Actividad 5. El enrutamiento aplica un umbral operativo de 0.276334 para la puntuación de la clase INDIVIDUAL y deriva a revisión humana los casos que no cumplen la política definida.</w:t>
      </w:r>
    </w:p>
    <w:tbl>
      <w:tblPr>
        <w:tblW w:type="auto" w:w="0"/>
        <w:jc w:val="center"/>
        <w:tblLook w:firstColumn="1" w:firstRow="1" w:lastColumn="0" w:lastRow="0" w:noHBand="0" w:noVBand="1" w:val="04A0"/>
      </w:tblPr>
      <w:tblGrid>
        <w:gridCol w:w="10080"/>
      </w:tblGrid>
      <w:tr>
        <w:tc>
          <w:tcPr>
            <w:tcW w:type="dxa" w:w="10080"/>
            <w:shd w:fill="EAF6EF"/>
            <w:tcMar>
              <w:top w:w="160" w:type="dxa"/>
              <w:start w:w="200" w:type="dxa"/>
              <w:bottom w:w="160" w:type="dxa"/>
              <w:end w:w="200" w:type="dxa"/>
            </w:tcMar>
          </w:tcPr>
          <w:p>
            <w:r>
              <w:rPr>
                <w:b/>
                <w:color w:val="1E7E4A"/>
              </w:rPr>
              <w:t xml:space="preserve">Resultado de infraestructura  </w:t>
            </w:r>
            <w:r>
              <w:t>GitHub Actions completó las pruebas, construyó la imagen Docker y probó el contenedor. Render confirmó “Deploy succeeded / Live”; los logs registran la carga del modelo y respuestas HTTP 200 de /health.</w:t>
            </w:r>
          </w:p>
        </w:tc>
      </w:tr>
    </w:tbl>
    <w:p>
      <w:pPr>
        <w:spacing w:after="20"/>
      </w:pPr>
    </w:p>
    <w:p>
      <w:r>
        <w:t>La validación funcional incluyó cuatro consultas desde la interfaz web y ocho pruebas desde Swagger UI. Las pruebas de entrada inválida respondieron con HTTP 422 según lo esperado. En las pruebas de clasificación se observaron dos discrepancias entre la intención de la consulta y la clase predicha; se conservaron como hallazgos y no se reinterpretaron como aciertos.</w:t>
      </w:r>
    </w:p>
    <w:p>
      <w:pPr>
        <w:pStyle w:val="Heading1"/>
      </w:pPr>
      <w:r>
        <w:t>2. Alcance y criterios</w:t>
      </w:r>
    </w:p>
    <w:p>
      <w:pPr>
        <w:pStyle w:val="ListBullet"/>
      </w:pPr>
      <w:r>
        <w:t>Validación de disponibilidad de la API y carga del artefacto del modelo.</w:t>
      </w:r>
    </w:p>
    <w:p>
      <w:pPr>
        <w:pStyle w:val="ListBullet"/>
      </w:pPr>
      <w:r>
        <w:t>Pruebas de contrato API: cuerpo de solicitud, respuesta JSON, códigos HTTP y restricciones de longitud.</w:t>
      </w:r>
    </w:p>
    <w:p>
      <w:pPr>
        <w:pStyle w:val="ListBullet"/>
      </w:pPr>
      <w:r>
        <w:t>Pruebas de clasificación con consultas sintéticas para las cuatro categorías del proyecto.</w:t>
      </w:r>
    </w:p>
    <w:p>
      <w:pPr>
        <w:pStyle w:val="ListBullet"/>
      </w:pPr>
      <w:r>
        <w:t>Validación de la canalización CI/CD, construcción Docker y ejecución del contenedor en infraestructura remota.</w:t>
      </w:r>
    </w:p>
    <w:p>
      <w:pPr>
        <w:pStyle w:val="ListBullet"/>
      </w:pPr>
      <w:r>
        <w:t>Comprobación de que la predicción no se presente como autorización de pago ni sustituya controles deterministas o revisión humana.</w:t>
      </w:r>
    </w:p>
    <w:tbl>
      <w:tblPr>
        <w:tblW w:type="auto" w:w="0"/>
        <w:jc w:val="center"/>
        <w:tblLook w:firstColumn="1" w:firstRow="1" w:lastColumn="0" w:lastRow="0" w:noHBand="0" w:noVBand="1" w:val="04A0"/>
      </w:tblPr>
      <w:tblGrid>
        <w:gridCol w:w="10080"/>
      </w:tblGrid>
      <w:tr>
        <w:tc>
          <w:tcPr>
            <w:tcW w:type="dxa" w:w="10080"/>
            <w:shd w:fill="FFF7E6"/>
            <w:tcMar>
              <w:top w:w="160" w:type="dxa"/>
              <w:start w:w="200" w:type="dxa"/>
              <w:bottom w:w="160" w:type="dxa"/>
              <w:end w:w="200" w:type="dxa"/>
            </w:tcMar>
          </w:tcPr>
          <w:p>
            <w:r>
              <w:rPr>
                <w:b/>
                <w:color w:val="B7791F"/>
              </w:rPr>
              <w:t xml:space="preserve">Fuera de alcance  </w:t>
            </w:r>
            <w:r>
              <w:t>Este documento no es una evaluación estadística nueva del modelo ni acredita desempeño en datos productivos. Los resultados funcionales son pruebas sintéticas de una versión desplegada.</w:t>
            </w:r>
          </w:p>
        </w:tc>
      </w:tr>
    </w:tbl>
    <w:p>
      <w:pPr>
        <w:spacing w:after="20"/>
      </w:pPr>
    </w:p>
    <w:p>
      <w:pPr>
        <w:pStyle w:val="Heading1"/>
      </w:pPr>
      <w:r>
        <w:t>3. Arquitectura y entorno probado</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Componente</w:t>
            </w:r>
          </w:p>
        </w:tc>
        <w:tc>
          <w:tcPr>
            <w:tcW w:type="dxa" w:w="5040"/>
            <w:shd w:fill="12365A"/>
            <w:tcMar>
              <w:top w:w="100" w:type="dxa"/>
              <w:start w:w="100" w:type="dxa"/>
              <w:bottom w:w="100" w:type="dxa"/>
              <w:end w:w="100" w:type="dxa"/>
            </w:tcMar>
            <w:vAlign w:val="center"/>
          </w:tcPr>
          <w:p>
            <w:r>
              <w:rPr>
                <w:b/>
                <w:color w:val="FFFFFF"/>
                <w:sz w:val="17"/>
              </w:rPr>
              <w:t>Implementación / configuración</w:t>
            </w:r>
          </w:p>
        </w:tc>
      </w:tr>
      <w:tr>
        <w:trPr>
          <w:cantSplit/>
        </w:trPr>
        <w:tc>
          <w:tcPr>
            <w:tcW w:type="dxa" w:w="5040"/>
            <w:vAlign w:val="center"/>
            <w:tcMar>
              <w:top w:w="90" w:type="dxa"/>
              <w:start w:w="100" w:type="dxa"/>
              <w:bottom w:w="90" w:type="dxa"/>
              <w:end w:w="100" w:type="dxa"/>
            </w:tcMar>
            <w:shd w:fill="F2F6FA"/>
          </w:tcPr>
          <w:p>
            <w:pPr>
              <w:spacing w:after="0"/>
            </w:pPr>
            <w:r>
              <w:rPr>
                <w:b/>
                <w:sz w:val="17"/>
              </w:rPr>
              <w:t>Repositorio</w:t>
            </w:r>
          </w:p>
        </w:tc>
        <w:tc>
          <w:tcPr>
            <w:tcW w:type="dxa" w:w="5040"/>
            <w:vAlign w:val="center"/>
            <w:tcMar>
              <w:top w:w="90" w:type="dxa"/>
              <w:start w:w="100" w:type="dxa"/>
              <w:bottom w:w="90" w:type="dxa"/>
              <w:end w:w="100" w:type="dxa"/>
            </w:tcMar>
            <w:shd w:fill="F2F6FA"/>
          </w:tcPr>
          <w:p>
            <w:pPr>
              <w:spacing w:after="0"/>
            </w:pPr>
            <w:r>
              <w:rPr>
                <w:sz w:val="17"/>
              </w:rPr>
              <w:t>GitHub: alfredosalazar-ai/deep-learning-experiments · rama main</w:t>
            </w:r>
          </w:p>
        </w:tc>
      </w:tr>
      <w:tr>
        <w:trPr>
          <w:cantSplit/>
        </w:trPr>
        <w:tc>
          <w:tcPr>
            <w:tcW w:type="dxa" w:w="5040"/>
            <w:vAlign w:val="center"/>
            <w:tcMar>
              <w:top w:w="90" w:type="dxa"/>
              <w:start w:w="100" w:type="dxa"/>
              <w:bottom w:w="90" w:type="dxa"/>
              <w:end w:w="100" w:type="dxa"/>
            </w:tcMar>
          </w:tcPr>
          <w:p>
            <w:pPr>
              <w:spacing w:after="0"/>
            </w:pPr>
            <w:r>
              <w:rPr>
                <w:b/>
                <w:sz w:val="17"/>
              </w:rPr>
              <w:t>Backend</w:t>
            </w:r>
          </w:p>
        </w:tc>
        <w:tc>
          <w:tcPr>
            <w:tcW w:type="dxa" w:w="5040"/>
            <w:vAlign w:val="center"/>
            <w:tcMar>
              <w:top w:w="90" w:type="dxa"/>
              <w:start w:w="100" w:type="dxa"/>
              <w:bottom w:w="90" w:type="dxa"/>
              <w:end w:w="100" w:type="dxa"/>
            </w:tcMar>
          </w:tcPr>
          <w:p>
            <w:pPr>
              <w:spacing w:after="0"/>
            </w:pPr>
            <w:r>
              <w:rPr>
                <w:sz w:val="17"/>
              </w:rPr>
              <w:t>FastAPI 0.115.12 · Uvicorn 0.34.0</w:t>
            </w:r>
          </w:p>
        </w:tc>
      </w:tr>
      <w:tr>
        <w:trPr>
          <w:cantSplit/>
        </w:trPr>
        <w:tc>
          <w:tcPr>
            <w:tcW w:type="dxa" w:w="5040"/>
            <w:vAlign w:val="center"/>
            <w:tcMar>
              <w:top w:w="90" w:type="dxa"/>
              <w:start w:w="100" w:type="dxa"/>
              <w:bottom w:w="90" w:type="dxa"/>
              <w:end w:w="100" w:type="dxa"/>
            </w:tcMar>
            <w:shd w:fill="F2F6FA"/>
          </w:tcPr>
          <w:p>
            <w:pPr>
              <w:spacing w:after="0"/>
            </w:pPr>
            <w:r>
              <w:rPr>
                <w:b/>
                <w:sz w:val="17"/>
              </w:rPr>
              <w:t>Modelo</w:t>
            </w:r>
          </w:p>
        </w:tc>
        <w:tc>
          <w:tcPr>
            <w:tcW w:type="dxa" w:w="5040"/>
            <w:vAlign w:val="center"/>
            <w:tcMar>
              <w:top w:w="90" w:type="dxa"/>
              <w:start w:w="100" w:type="dxa"/>
              <w:bottom w:w="90" w:type="dxa"/>
              <w:end w:w="100" w:type="dxa"/>
            </w:tcMar>
            <w:shd w:fill="F2F6FA"/>
          </w:tcPr>
          <w:p>
            <w:pPr>
              <w:spacing w:after="0"/>
            </w:pPr>
            <w:r>
              <w:rPr>
                <w:sz w:val="17"/>
              </w:rPr>
              <w:t>Regresión Logística · Pipeline de scikit-learn 1.6.1</w:t>
            </w:r>
          </w:p>
        </w:tc>
      </w:tr>
      <w:tr>
        <w:trPr>
          <w:cantSplit/>
        </w:trPr>
        <w:tc>
          <w:tcPr>
            <w:tcW w:type="dxa" w:w="5040"/>
            <w:vAlign w:val="center"/>
            <w:tcMar>
              <w:top w:w="90" w:type="dxa"/>
              <w:start w:w="100" w:type="dxa"/>
              <w:bottom w:w="90" w:type="dxa"/>
              <w:end w:w="100" w:type="dxa"/>
            </w:tcMar>
          </w:tcPr>
          <w:p>
            <w:pPr>
              <w:spacing w:after="0"/>
            </w:pPr>
            <w:r>
              <w:rPr>
                <w:b/>
                <w:sz w:val="17"/>
              </w:rPr>
              <w:t>Versión reportada por la API</w:t>
            </w:r>
          </w:p>
        </w:tc>
        <w:tc>
          <w:tcPr>
            <w:tcW w:type="dxa" w:w="5040"/>
            <w:vAlign w:val="center"/>
            <w:tcMar>
              <w:top w:w="90" w:type="dxa"/>
              <w:start w:w="100" w:type="dxa"/>
              <w:bottom w:w="90" w:type="dxa"/>
              <w:end w:w="100" w:type="dxa"/>
            </w:tcMar>
          </w:tcPr>
          <w:p>
            <w:pPr>
              <w:spacing w:after="0"/>
            </w:pPr>
            <w:r>
              <w:rPr>
                <w:sz w:val="17"/>
              </w:rPr>
              <w:t>actividad5-regresion-logistica-a5-v1.0</w:t>
            </w:r>
          </w:p>
        </w:tc>
      </w:tr>
      <w:tr>
        <w:trPr>
          <w:cantSplit/>
        </w:trPr>
        <w:tc>
          <w:tcPr>
            <w:tcW w:type="dxa" w:w="5040"/>
            <w:vAlign w:val="center"/>
            <w:tcMar>
              <w:top w:w="90" w:type="dxa"/>
              <w:start w:w="100" w:type="dxa"/>
              <w:bottom w:w="90" w:type="dxa"/>
              <w:end w:w="100" w:type="dxa"/>
            </w:tcMar>
            <w:shd w:fill="F2F6FA"/>
          </w:tcPr>
          <w:p>
            <w:pPr>
              <w:spacing w:after="0"/>
            </w:pPr>
            <w:r>
              <w:rPr>
                <w:b/>
                <w:sz w:val="17"/>
              </w:rPr>
              <w:t>Runtime del contenedor</w:t>
            </w:r>
          </w:p>
        </w:tc>
        <w:tc>
          <w:tcPr>
            <w:tcW w:type="dxa" w:w="5040"/>
            <w:vAlign w:val="center"/>
            <w:tcMar>
              <w:top w:w="90" w:type="dxa"/>
              <w:start w:w="100" w:type="dxa"/>
              <w:bottom w:w="90" w:type="dxa"/>
              <w:end w:w="100" w:type="dxa"/>
            </w:tcMar>
            <w:shd w:fill="F2F6FA"/>
          </w:tcPr>
          <w:p>
            <w:pPr>
              <w:spacing w:after="0"/>
            </w:pPr>
            <w:r>
              <w:rPr>
                <w:sz w:val="17"/>
              </w:rPr>
              <w:t>Python 3.12-slim</w:t>
            </w:r>
          </w:p>
        </w:tc>
      </w:tr>
      <w:tr>
        <w:trPr>
          <w:cantSplit/>
        </w:trPr>
        <w:tc>
          <w:tcPr>
            <w:tcW w:type="dxa" w:w="5040"/>
            <w:vAlign w:val="center"/>
            <w:tcMar>
              <w:top w:w="90" w:type="dxa"/>
              <w:start w:w="100" w:type="dxa"/>
              <w:bottom w:w="90" w:type="dxa"/>
              <w:end w:w="100" w:type="dxa"/>
            </w:tcMar>
          </w:tcPr>
          <w:p>
            <w:pPr>
              <w:spacing w:after="0"/>
            </w:pPr>
            <w:r>
              <w:rPr>
                <w:b/>
                <w:sz w:val="17"/>
              </w:rPr>
              <w:t>Dependencias numéricas</w:t>
            </w:r>
          </w:p>
        </w:tc>
        <w:tc>
          <w:tcPr>
            <w:tcW w:type="dxa" w:w="5040"/>
            <w:vAlign w:val="center"/>
            <w:tcMar>
              <w:top w:w="90" w:type="dxa"/>
              <w:start w:w="100" w:type="dxa"/>
              <w:bottom w:w="90" w:type="dxa"/>
              <w:end w:w="100" w:type="dxa"/>
            </w:tcMar>
          </w:tcPr>
          <w:p>
            <w:pPr>
              <w:spacing w:after="0"/>
            </w:pPr>
            <w:r>
              <w:rPr>
                <w:sz w:val="17"/>
              </w:rPr>
              <w:t>NumPy 1.26.4 · SciPy 1.15.2 · joblib 1.6.0</w:t>
            </w:r>
          </w:p>
        </w:tc>
      </w:tr>
      <w:tr>
        <w:trPr>
          <w:cantSplit/>
        </w:trPr>
        <w:tc>
          <w:tcPr>
            <w:tcW w:type="dxa" w:w="5040"/>
            <w:vAlign w:val="center"/>
            <w:tcMar>
              <w:top w:w="90" w:type="dxa"/>
              <w:start w:w="100" w:type="dxa"/>
              <w:bottom w:w="90" w:type="dxa"/>
              <w:end w:w="100" w:type="dxa"/>
            </w:tcMar>
            <w:shd w:fill="F2F6FA"/>
          </w:tcPr>
          <w:p>
            <w:pPr>
              <w:spacing w:after="0"/>
            </w:pPr>
            <w:r>
              <w:rPr>
                <w:b/>
                <w:sz w:val="17"/>
              </w:rPr>
              <w:t>Frontend</w:t>
            </w:r>
          </w:p>
        </w:tc>
        <w:tc>
          <w:tcPr>
            <w:tcW w:type="dxa" w:w="5040"/>
            <w:vAlign w:val="center"/>
            <w:tcMar>
              <w:top w:w="90" w:type="dxa"/>
              <w:start w:w="100" w:type="dxa"/>
              <w:bottom w:w="90" w:type="dxa"/>
              <w:end w:w="100" w:type="dxa"/>
            </w:tcMar>
            <w:shd w:fill="F2F6FA"/>
          </w:tcPr>
          <w:p>
            <w:pPr>
              <w:spacing w:after="0"/>
            </w:pPr>
            <w:r>
              <w:rPr>
                <w:sz w:val="17"/>
              </w:rPr>
              <w:t>HTML, CSS y JavaScript servidos por FastAPI</w:t>
            </w:r>
          </w:p>
        </w:tc>
      </w:tr>
      <w:tr>
        <w:trPr>
          <w:cantSplit/>
        </w:trPr>
        <w:tc>
          <w:tcPr>
            <w:tcW w:type="dxa" w:w="5040"/>
            <w:vAlign w:val="center"/>
            <w:tcMar>
              <w:top w:w="90" w:type="dxa"/>
              <w:start w:w="100" w:type="dxa"/>
              <w:bottom w:w="90" w:type="dxa"/>
              <w:end w:w="100" w:type="dxa"/>
            </w:tcMar>
          </w:tcPr>
          <w:p>
            <w:pPr>
              <w:spacing w:after="0"/>
            </w:pPr>
            <w:r>
              <w:rPr>
                <w:b/>
                <w:sz w:val="17"/>
              </w:rPr>
              <w:t>Contenedor</w:t>
            </w:r>
          </w:p>
        </w:tc>
        <w:tc>
          <w:tcPr>
            <w:tcW w:type="dxa" w:w="5040"/>
            <w:vAlign w:val="center"/>
            <w:tcMar>
              <w:top w:w="90" w:type="dxa"/>
              <w:start w:w="100" w:type="dxa"/>
              <w:bottom w:w="90" w:type="dxa"/>
              <w:end w:w="100" w:type="dxa"/>
            </w:tcMar>
          </w:tcPr>
          <w:p>
            <w:pPr>
              <w:spacing w:after="0"/>
            </w:pPr>
            <w:r>
              <w:rPr>
                <w:sz w:val="17"/>
              </w:rPr>
              <w:t>Docker construido y ejecutado por GitHub Actions y Render</w:t>
            </w:r>
          </w:p>
        </w:tc>
      </w:tr>
      <w:tr>
        <w:trPr>
          <w:cantSplit/>
        </w:trPr>
        <w:tc>
          <w:tcPr>
            <w:tcW w:type="dxa" w:w="5040"/>
            <w:vAlign w:val="center"/>
            <w:tcMar>
              <w:top w:w="90" w:type="dxa"/>
              <w:start w:w="100" w:type="dxa"/>
              <w:bottom w:w="90" w:type="dxa"/>
              <w:end w:w="100" w:type="dxa"/>
            </w:tcMar>
            <w:shd w:fill="F2F6FA"/>
          </w:tcPr>
          <w:p>
            <w:pPr>
              <w:spacing w:after="0"/>
            </w:pPr>
            <w:r>
              <w:rPr>
                <w:b/>
                <w:sz w:val="17"/>
              </w:rPr>
              <w:t>Despliegue</w:t>
            </w:r>
          </w:p>
        </w:tc>
        <w:tc>
          <w:tcPr>
            <w:tcW w:type="dxa" w:w="5040"/>
            <w:vAlign w:val="center"/>
            <w:tcMar>
              <w:top w:w="90" w:type="dxa"/>
              <w:start w:w="100" w:type="dxa"/>
              <w:bottom w:w="90" w:type="dxa"/>
              <w:end w:w="100" w:type="dxa"/>
            </w:tcMar>
            <w:shd w:fill="F2F6FA"/>
          </w:tcPr>
          <w:p>
            <w:pPr>
              <w:spacing w:after="0"/>
            </w:pPr>
            <w:r>
              <w:rPr>
                <w:sz w:val="17"/>
              </w:rPr>
              <w:t>Render Web Service · Free · Oregon (US West)</w:t>
            </w:r>
          </w:p>
        </w:tc>
      </w:tr>
      <w:tr>
        <w:trPr>
          <w:cantSplit/>
        </w:trPr>
        <w:tc>
          <w:tcPr>
            <w:tcW w:type="dxa" w:w="5040"/>
            <w:vAlign w:val="center"/>
            <w:tcMar>
              <w:top w:w="90" w:type="dxa"/>
              <w:start w:w="100" w:type="dxa"/>
              <w:bottom w:w="90" w:type="dxa"/>
              <w:end w:w="100" w:type="dxa"/>
            </w:tcMar>
          </w:tcPr>
          <w:p>
            <w:pPr>
              <w:spacing w:after="0"/>
            </w:pPr>
            <w:r>
              <w:rPr>
                <w:b/>
                <w:sz w:val="17"/>
              </w:rPr>
              <w:t>URL pública</w:t>
            </w:r>
          </w:p>
        </w:tc>
        <w:tc>
          <w:tcPr>
            <w:tcW w:type="dxa" w:w="5040"/>
            <w:vAlign w:val="center"/>
            <w:tcMar>
              <w:top w:w="90" w:type="dxa"/>
              <w:start w:w="100" w:type="dxa"/>
              <w:bottom w:w="90" w:type="dxa"/>
              <w:end w:w="100" w:type="dxa"/>
            </w:tcMar>
          </w:tcPr>
          <w:p>
            <w:pPr>
              <w:spacing w:after="0"/>
            </w:pPr>
            <w:r>
              <w:rPr>
                <w:sz w:val="17"/>
              </w:rPr>
              <w:t>https://chatbot-cima-fase2.onrender.com/</w:t>
            </w:r>
          </w:p>
        </w:tc>
      </w:tr>
      <w:tr>
        <w:trPr>
          <w:cantSplit/>
        </w:trPr>
        <w:tc>
          <w:tcPr>
            <w:tcW w:type="dxa" w:w="5040"/>
            <w:vAlign w:val="center"/>
            <w:tcMar>
              <w:top w:w="90" w:type="dxa"/>
              <w:start w:w="100" w:type="dxa"/>
              <w:bottom w:w="90" w:type="dxa"/>
              <w:end w:w="100" w:type="dxa"/>
            </w:tcMar>
            <w:shd w:fill="F2F6FA"/>
          </w:tcPr>
          <w:p>
            <w:pPr>
              <w:spacing w:after="0"/>
            </w:pPr>
            <w:r>
              <w:rPr>
                <w:b/>
                <w:sz w:val="17"/>
              </w:rPr>
              <w:t>Swagger UI</w:t>
            </w:r>
          </w:p>
        </w:tc>
        <w:tc>
          <w:tcPr>
            <w:tcW w:type="dxa" w:w="5040"/>
            <w:vAlign w:val="center"/>
            <w:tcMar>
              <w:top w:w="90" w:type="dxa"/>
              <w:start w:w="100" w:type="dxa"/>
              <w:bottom w:w="90" w:type="dxa"/>
              <w:end w:w="100" w:type="dxa"/>
            </w:tcMar>
            <w:shd w:fill="F2F6FA"/>
          </w:tcPr>
          <w:p>
            <w:pPr>
              <w:spacing w:after="0"/>
            </w:pPr>
            <w:r>
              <w:rPr>
                <w:sz w:val="17"/>
              </w:rPr>
              <w:t>https://chatbot-cima-fase2.onrender.com/docs</w:t>
            </w:r>
          </w:p>
        </w:tc>
      </w:tr>
      <w:tr>
        <w:trPr>
          <w:cantSplit/>
        </w:trPr>
        <w:tc>
          <w:tcPr>
            <w:tcW w:type="dxa" w:w="5040"/>
            <w:vAlign w:val="center"/>
            <w:tcMar>
              <w:top w:w="90" w:type="dxa"/>
              <w:start w:w="100" w:type="dxa"/>
              <w:bottom w:w="90" w:type="dxa"/>
              <w:end w:w="100" w:type="dxa"/>
            </w:tcMar>
          </w:tcPr>
          <w:p>
            <w:pPr>
              <w:spacing w:after="0"/>
            </w:pPr>
            <w:r>
              <w:rPr>
                <w:b/>
                <w:sz w:val="17"/>
              </w:rPr>
              <w:t>Health Check</w:t>
            </w:r>
          </w:p>
        </w:tc>
        <w:tc>
          <w:tcPr>
            <w:tcW w:type="dxa" w:w="5040"/>
            <w:vAlign w:val="center"/>
            <w:tcMar>
              <w:top w:w="90" w:type="dxa"/>
              <w:start w:w="100" w:type="dxa"/>
              <w:bottom w:w="90" w:type="dxa"/>
              <w:end w:w="100" w:type="dxa"/>
            </w:tcMar>
          </w:tcPr>
          <w:p>
            <w:pPr>
              <w:spacing w:after="0"/>
            </w:pPr>
            <w:r>
              <w:rPr>
                <w:sz w:val="17"/>
              </w:rPr>
              <w:t>https://chatbot-cima-fase2.onrender.com/health</w:t>
            </w:r>
          </w:p>
        </w:tc>
      </w:tr>
    </w:tbl>
    <w:p>
      <w:pPr>
        <w:spacing w:after="20"/>
      </w:pPr>
    </w:p>
    <w:p>
      <w:pPr>
        <w:pStyle w:val="Heading1"/>
      </w:pPr>
      <w:r>
        <w:t>4. Integración continua y construcción Docker</w:t>
      </w:r>
    </w:p>
    <w:p>
      <w:r>
        <w:t>Se observaron tres ejecuciones exitosas del workflow “Fase II - prueba y construcción Docker”. La tercera ejecución corresponde al commit “Update GitHub Actions runtimes and pin Ubuntu runner”, con runner ubuntu-24.04 y acciones actions/checkout@v7 y actions/setup-python@v7. Esta actualización eliminó las advertencias de compatibilidad de Node.js 20 y evitó depender de la etiqueta móvil ubuntu-latest.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520"/>
            <w:shd w:fill="12365A"/>
            <w:tcMar>
              <w:top w:w="100" w:type="dxa"/>
              <w:start w:w="100" w:type="dxa"/>
              <w:bottom w:w="100" w:type="dxa"/>
              <w:end w:w="100" w:type="dxa"/>
            </w:tcMar>
            <w:vAlign w:val="center"/>
          </w:tcPr>
          <w:p>
            <w:r>
              <w:rPr>
                <w:b/>
                <w:color w:val="FFFFFF"/>
                <w:sz w:val="17"/>
              </w:rPr>
              <w:t>Ejecución</w:t>
            </w:r>
          </w:p>
        </w:tc>
        <w:tc>
          <w:tcPr>
            <w:tcW w:type="dxa" w:w="2520"/>
            <w:shd w:fill="12365A"/>
            <w:tcMar>
              <w:top w:w="100" w:type="dxa"/>
              <w:start w:w="100" w:type="dxa"/>
              <w:bottom w:w="100" w:type="dxa"/>
              <w:end w:w="100" w:type="dxa"/>
            </w:tcMar>
            <w:vAlign w:val="center"/>
          </w:tcPr>
          <w:p>
            <w:r>
              <w:rPr>
                <w:b/>
                <w:color w:val="FFFFFF"/>
                <w:sz w:val="17"/>
              </w:rPr>
              <w:t>Resultado</w:t>
            </w:r>
          </w:p>
        </w:tc>
        <w:tc>
          <w:tcPr>
            <w:tcW w:type="dxa" w:w="2520"/>
            <w:shd w:fill="12365A"/>
            <w:tcMar>
              <w:top w:w="100" w:type="dxa"/>
              <w:start w:w="100" w:type="dxa"/>
              <w:bottom w:w="100" w:type="dxa"/>
              <w:end w:w="100" w:type="dxa"/>
            </w:tcMar>
            <w:vAlign w:val="center"/>
          </w:tcPr>
          <w:p>
            <w:r>
              <w:rPr>
                <w:b/>
                <w:color w:val="FFFFFF"/>
                <w:sz w:val="17"/>
              </w:rPr>
              <w:t>Duración visible</w:t>
            </w:r>
          </w:p>
        </w:tc>
        <w:tc>
          <w:tcPr>
            <w:tcW w:type="dxa" w:w="2520"/>
            <w:shd w:fill="12365A"/>
            <w:tcMar>
              <w:top w:w="100" w:type="dxa"/>
              <w:start w:w="100" w:type="dxa"/>
              <w:bottom w:w="100" w:type="dxa"/>
              <w:end w:w="100" w:type="dxa"/>
            </w:tcMar>
            <w:vAlign w:val="center"/>
          </w:tcPr>
          <w:p>
            <w:r>
              <w:rPr>
                <w:b/>
                <w:color w:val="FFFFFF"/>
                <w:sz w:val="17"/>
              </w:rPr>
              <w:t>Observación</w:t>
            </w:r>
          </w:p>
        </w:tc>
      </w:tr>
      <w:tr>
        <w:trPr>
          <w:cantSplit/>
        </w:trPr>
        <w:tc>
          <w:tcPr>
            <w:tcW w:type="dxa" w:w="2520"/>
            <w:vAlign w:val="center"/>
            <w:tcMar>
              <w:top w:w="90" w:type="dxa"/>
              <w:start w:w="100" w:type="dxa"/>
              <w:bottom w:w="90" w:type="dxa"/>
              <w:end w:w="100" w:type="dxa"/>
            </w:tcMar>
            <w:shd w:fill="F2F6FA"/>
          </w:tcPr>
          <w:p>
            <w:pPr>
              <w:spacing w:after="0"/>
            </w:pPr>
            <w:r>
              <w:rPr>
                <w:b/>
                <w:sz w:val="17"/>
              </w:rPr>
              <w:t>Docker FASE II #1</w:t>
            </w:r>
          </w:p>
        </w:tc>
        <w:tc>
          <w:tcPr>
            <w:tcW w:type="dxa" w:w="2520"/>
            <w:vAlign w:val="center"/>
            <w:tcMar>
              <w:top w:w="90" w:type="dxa"/>
              <w:start w:w="100" w:type="dxa"/>
              <w:bottom w:w="90" w:type="dxa"/>
              <w:end w:w="100" w:type="dxa"/>
            </w:tcMar>
            <w:shd w:fill="F2F6FA"/>
          </w:tcPr>
          <w:p>
            <w:pPr>
              <w:spacing w:after="0"/>
            </w:pPr>
            <w:r>
              <w:rPr>
                <w:sz w:val="17"/>
              </w:rPr>
              <w:t>Success</w:t>
            </w:r>
          </w:p>
        </w:tc>
        <w:tc>
          <w:tcPr>
            <w:tcW w:type="dxa" w:w="2520"/>
            <w:vAlign w:val="center"/>
            <w:tcMar>
              <w:top w:w="90" w:type="dxa"/>
              <w:start w:w="100" w:type="dxa"/>
              <w:bottom w:w="90" w:type="dxa"/>
              <w:end w:w="100" w:type="dxa"/>
            </w:tcMar>
            <w:shd w:fill="F2F6FA"/>
          </w:tcPr>
          <w:p>
            <w:pPr>
              <w:spacing w:after="0"/>
            </w:pPr>
            <w:r>
              <w:rPr>
                <w:sz w:val="17"/>
              </w:rPr>
              <w:t>52 s (run summary)</w:t>
            </w:r>
          </w:p>
        </w:tc>
        <w:tc>
          <w:tcPr>
            <w:tcW w:type="dxa" w:w="2520"/>
            <w:vAlign w:val="center"/>
            <w:tcMar>
              <w:top w:w="90" w:type="dxa"/>
              <w:start w:w="100" w:type="dxa"/>
              <w:bottom w:w="90" w:type="dxa"/>
              <w:end w:w="100" w:type="dxa"/>
            </w:tcMar>
            <w:shd w:fill="F2F6FA"/>
          </w:tcPr>
          <w:p>
            <w:pPr>
              <w:spacing w:after="0"/>
            </w:pPr>
            <w:r>
              <w:rPr>
                <w:sz w:val="17"/>
              </w:rPr>
              <w:t>Pruebas, build Docker y prueba del contenedor completados.</w:t>
            </w:r>
          </w:p>
        </w:tc>
      </w:tr>
      <w:tr>
        <w:trPr>
          <w:cantSplit/>
        </w:trPr>
        <w:tc>
          <w:tcPr>
            <w:tcW w:type="dxa" w:w="2520"/>
            <w:vAlign w:val="center"/>
            <w:tcMar>
              <w:top w:w="90" w:type="dxa"/>
              <w:start w:w="100" w:type="dxa"/>
              <w:bottom w:w="90" w:type="dxa"/>
              <w:end w:w="100" w:type="dxa"/>
            </w:tcMar>
          </w:tcPr>
          <w:p>
            <w:pPr>
              <w:spacing w:after="0"/>
            </w:pPr>
            <w:r>
              <w:rPr>
                <w:b/>
                <w:sz w:val="17"/>
              </w:rPr>
              <w:t>Improve health check readiness validation #2</w:t>
            </w:r>
          </w:p>
        </w:tc>
        <w:tc>
          <w:tcPr>
            <w:tcW w:type="dxa" w:w="2520"/>
            <w:vAlign w:val="center"/>
            <w:tcMar>
              <w:top w:w="90" w:type="dxa"/>
              <w:start w:w="100" w:type="dxa"/>
              <w:bottom w:w="90" w:type="dxa"/>
              <w:end w:w="100" w:type="dxa"/>
            </w:tcMar>
          </w:tcPr>
          <w:p>
            <w:pPr>
              <w:spacing w:after="0"/>
            </w:pPr>
            <w:r>
              <w:rPr>
                <w:sz w:val="17"/>
              </w:rPr>
              <w:t>Success</w:t>
            </w:r>
          </w:p>
        </w:tc>
        <w:tc>
          <w:tcPr>
            <w:tcW w:type="dxa" w:w="2520"/>
            <w:vAlign w:val="center"/>
            <w:tcMar>
              <w:top w:w="90" w:type="dxa"/>
              <w:start w:w="100" w:type="dxa"/>
              <w:bottom w:w="90" w:type="dxa"/>
              <w:end w:w="100" w:type="dxa"/>
            </w:tcMar>
          </w:tcPr>
          <w:p>
            <w:pPr>
              <w:spacing w:after="0"/>
            </w:pPr>
            <w:r>
              <w:rPr>
                <w:sz w:val="17"/>
              </w:rPr>
              <w:t>54 s</w:t>
            </w:r>
          </w:p>
        </w:tc>
        <w:tc>
          <w:tcPr>
            <w:tcW w:type="dxa" w:w="2520"/>
            <w:vAlign w:val="center"/>
            <w:tcMar>
              <w:top w:w="90" w:type="dxa"/>
              <w:start w:w="100" w:type="dxa"/>
              <w:bottom w:w="90" w:type="dxa"/>
              <w:end w:w="100" w:type="dxa"/>
            </w:tcMar>
          </w:tcPr>
          <w:p>
            <w:pPr>
              <w:spacing w:after="0"/>
            </w:pPr>
            <w:r>
              <w:rPr>
                <w:sz w:val="17"/>
              </w:rPr>
              <w:t>Se mantuvo verde tras ajustar /health para reflejar disponibilidad del modelo.</w:t>
            </w:r>
          </w:p>
        </w:tc>
      </w:tr>
      <w:tr>
        <w:trPr>
          <w:cantSplit/>
        </w:trPr>
        <w:tc>
          <w:tcPr>
            <w:tcW w:type="dxa" w:w="2520"/>
            <w:vAlign w:val="center"/>
            <w:tcMar>
              <w:top w:w="90" w:type="dxa"/>
              <w:start w:w="100" w:type="dxa"/>
              <w:bottom w:w="90" w:type="dxa"/>
              <w:end w:w="100" w:type="dxa"/>
            </w:tcMar>
            <w:shd w:fill="F2F6FA"/>
          </w:tcPr>
          <w:p>
            <w:pPr>
              <w:spacing w:after="0"/>
            </w:pPr>
            <w:r>
              <w:rPr>
                <w:b/>
                <w:sz w:val="17"/>
              </w:rPr>
              <w:t>Update GitHub Actions runtimes and pin Ubuntu runner #3</w:t>
            </w:r>
          </w:p>
        </w:tc>
        <w:tc>
          <w:tcPr>
            <w:tcW w:type="dxa" w:w="2520"/>
            <w:vAlign w:val="center"/>
            <w:tcMar>
              <w:top w:w="90" w:type="dxa"/>
              <w:start w:w="100" w:type="dxa"/>
              <w:bottom w:w="90" w:type="dxa"/>
              <w:end w:w="100" w:type="dxa"/>
            </w:tcMar>
            <w:shd w:fill="F2F6FA"/>
          </w:tcPr>
          <w:p>
            <w:pPr>
              <w:spacing w:after="0"/>
            </w:pPr>
            <w:r>
              <w:rPr>
                <w:sz w:val="17"/>
              </w:rPr>
              <w:t>Success</w:t>
            </w:r>
          </w:p>
        </w:tc>
        <w:tc>
          <w:tcPr>
            <w:tcW w:type="dxa" w:w="2520"/>
            <w:vAlign w:val="center"/>
            <w:tcMar>
              <w:top w:w="90" w:type="dxa"/>
              <w:start w:w="100" w:type="dxa"/>
              <w:bottom w:w="90" w:type="dxa"/>
              <w:end w:w="100" w:type="dxa"/>
            </w:tcMar>
            <w:shd w:fill="F2F6FA"/>
          </w:tcPr>
          <w:p>
            <w:pPr>
              <w:spacing w:after="0"/>
            </w:pPr>
            <w:r>
              <w:rPr>
                <w:sz w:val="17"/>
              </w:rPr>
              <w:t>1 min 3 s</w:t>
            </w:r>
          </w:p>
        </w:tc>
        <w:tc>
          <w:tcPr>
            <w:tcW w:type="dxa" w:w="2520"/>
            <w:vAlign w:val="center"/>
            <w:tcMar>
              <w:top w:w="90" w:type="dxa"/>
              <w:start w:w="100" w:type="dxa"/>
              <w:bottom w:w="90" w:type="dxa"/>
              <w:end w:w="100" w:type="dxa"/>
            </w:tcMar>
            <w:shd w:fill="F2F6FA"/>
          </w:tcPr>
          <w:p>
            <w:pPr>
              <w:spacing w:after="0"/>
            </w:pPr>
            <w:r>
              <w:rPr>
                <w:sz w:val="17"/>
              </w:rPr>
              <w:t>ubuntu-24.04; checkout@v7; setup-python@v7; todos los pasos en verde.</w:t>
            </w:r>
          </w:p>
        </w:tc>
      </w:tr>
    </w:tbl>
    <w:p>
      <w:pPr>
        <w:spacing w:after="20"/>
      </w:pPr>
    </w:p>
    <w:p>
      <w:r>
        <w:t>En la ejecución #3 se confirmaron los pasos de instalación de dependencias, pytest de API y modelo, construcción de la imagen Docker y prueba del contenedor construido. Esta validación demuestra que el artefacto se puede construir y ejecutar en un runner remoto; no requiere Docker instalado en el equipo del usuario.</w:t>
      </w:r>
    </w:p>
    <w:p>
      <w:pPr>
        <w:jc w:val="center"/>
      </w:pPr>
      <w:r>
        <w:drawing>
          <wp:inline xmlns:a="http://schemas.openxmlformats.org/drawingml/2006/main" xmlns:pic="http://schemas.openxmlformats.org/drawingml/2006/picture">
            <wp:extent cx="6035040" cy="4482102"/>
            <wp:docPr id="1" name="Picture 1"/>
            <wp:cNvGraphicFramePr>
              <a:graphicFrameLocks noChangeAspect="1"/>
            </wp:cNvGraphicFramePr>
            <a:graphic>
              <a:graphicData uri="http://schemas.openxmlformats.org/drawingml/2006/picture">
                <pic:pic>
                  <pic:nvPicPr>
                    <pic:cNvPr id="0" name="github_actions_run_03.png"/>
                    <pic:cNvPicPr/>
                  </pic:nvPicPr>
                  <pic:blipFill>
                    <a:blip r:embed="rId13"/>
                    <a:stretch>
                      <a:fillRect/>
                    </a:stretch>
                  </pic:blipFill>
                  <pic:spPr>
                    <a:xfrm>
                      <a:off x="0" y="0"/>
                      <a:ext cx="6035040" cy="4482102"/>
                    </a:xfrm>
                    <a:prstGeom prst="rect"/>
                  </pic:spPr>
                </pic:pic>
              </a:graphicData>
            </a:graphic>
          </wp:inline>
        </w:drawing>
      </w:r>
    </w:p>
    <w:p>
      <w:pPr>
        <w:jc w:val="center"/>
      </w:pPr>
      <w:r>
        <w:rPr>
          <w:i/>
          <w:color w:val="5B6573"/>
          <w:sz w:val="16"/>
        </w:rPr>
        <w:t>Figura 1. GitHub Actions: tercera ejecución exitosa del workflow de Fase II.</w:t>
      </w:r>
    </w:p>
    <w:p>
      <w:pPr>
        <w:pStyle w:val="Heading1"/>
      </w:pPr>
      <w:r>
        <w:t>5. Despliegue en Render</w:t>
      </w:r>
    </w:p>
    <w:p>
      <w:r>
        <w:t>El servicio se desplegó desde el repositorio GitHub, rama main, con runtime Docker y directorio del servicio FaseII. El registro de Render identifica el commit desplegado 4933ce629b4afa90e9160a757648af51ddf87227. El servicio quedó en estado “Deploy succeeded / Live” y publicó la URL https://chatbot-cima-fase2.onrender.com/.</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12365A"/>
            <w:tcMar>
              <w:top w:w="100" w:type="dxa"/>
              <w:start w:w="100" w:type="dxa"/>
              <w:bottom w:w="100" w:type="dxa"/>
              <w:end w:w="100" w:type="dxa"/>
            </w:tcMar>
            <w:vAlign w:val="center"/>
          </w:tcPr>
          <w:p>
            <w:r>
              <w:rPr>
                <w:b/>
                <w:color w:val="FFFFFF"/>
                <w:sz w:val="17"/>
              </w:rPr>
              <w:t>Parámetro</w:t>
            </w:r>
          </w:p>
        </w:tc>
        <w:tc>
          <w:tcPr>
            <w:tcW w:type="dxa" w:w="5040"/>
            <w:shd w:fill="12365A"/>
            <w:tcMar>
              <w:top w:w="100" w:type="dxa"/>
              <w:start w:w="100" w:type="dxa"/>
              <w:bottom w:w="100" w:type="dxa"/>
              <w:end w:w="100" w:type="dxa"/>
            </w:tcMar>
            <w:vAlign w:val="center"/>
          </w:tcPr>
          <w:p>
            <w:r>
              <w:rPr>
                <w:b/>
                <w:color w:val="FFFFFF"/>
                <w:sz w:val="17"/>
              </w:rPr>
              <w:t>Valor observado</w:t>
            </w:r>
          </w:p>
        </w:tc>
      </w:tr>
      <w:tr>
        <w:trPr>
          <w:cantSplit/>
        </w:trPr>
        <w:tc>
          <w:tcPr>
            <w:tcW w:type="dxa" w:w="5040"/>
            <w:vAlign w:val="center"/>
            <w:tcMar>
              <w:top w:w="90" w:type="dxa"/>
              <w:start w:w="100" w:type="dxa"/>
              <w:bottom w:w="90" w:type="dxa"/>
              <w:end w:w="100" w:type="dxa"/>
            </w:tcMar>
            <w:shd w:fill="F2F6FA"/>
          </w:tcPr>
          <w:p>
            <w:pPr>
              <w:spacing w:after="0"/>
            </w:pPr>
            <w:r>
              <w:rPr>
                <w:b/>
                <w:sz w:val="17"/>
              </w:rPr>
              <w:t>Servicio</w:t>
            </w:r>
          </w:p>
        </w:tc>
        <w:tc>
          <w:tcPr>
            <w:tcW w:type="dxa" w:w="5040"/>
            <w:vAlign w:val="center"/>
            <w:tcMar>
              <w:top w:w="90" w:type="dxa"/>
              <w:start w:w="100" w:type="dxa"/>
              <w:bottom w:w="90" w:type="dxa"/>
              <w:end w:w="100" w:type="dxa"/>
            </w:tcMar>
            <w:shd w:fill="F2F6FA"/>
          </w:tcPr>
          <w:p>
            <w:pPr>
              <w:spacing w:after="0"/>
            </w:pPr>
            <w:r>
              <w:rPr>
                <w:sz w:val="17"/>
              </w:rPr>
              <w:t>chatbot-cima-fase2</w:t>
            </w:r>
          </w:p>
        </w:tc>
      </w:tr>
      <w:tr>
        <w:trPr>
          <w:cantSplit/>
        </w:trPr>
        <w:tc>
          <w:tcPr>
            <w:tcW w:type="dxa" w:w="5040"/>
            <w:vAlign w:val="center"/>
            <w:tcMar>
              <w:top w:w="90" w:type="dxa"/>
              <w:start w:w="100" w:type="dxa"/>
              <w:bottom w:w="90" w:type="dxa"/>
              <w:end w:w="100" w:type="dxa"/>
            </w:tcMar>
          </w:tcPr>
          <w:p>
            <w:pPr>
              <w:spacing w:after="0"/>
            </w:pPr>
            <w:r>
              <w:rPr>
                <w:b/>
                <w:sz w:val="17"/>
              </w:rPr>
              <w:t>Plan</w:t>
            </w:r>
          </w:p>
        </w:tc>
        <w:tc>
          <w:tcPr>
            <w:tcW w:type="dxa" w:w="5040"/>
            <w:vAlign w:val="center"/>
            <w:tcMar>
              <w:top w:w="90" w:type="dxa"/>
              <w:start w:w="100" w:type="dxa"/>
              <w:bottom w:w="90" w:type="dxa"/>
              <w:end w:w="100" w:type="dxa"/>
            </w:tcMar>
          </w:tcPr>
          <w:p>
            <w:pPr>
              <w:spacing w:after="0"/>
            </w:pPr>
            <w:r>
              <w:rPr>
                <w:sz w:val="17"/>
              </w:rPr>
              <w:t>Free · USD 0/mes</w:t>
            </w:r>
          </w:p>
        </w:tc>
      </w:tr>
      <w:tr>
        <w:trPr>
          <w:cantSplit/>
        </w:trPr>
        <w:tc>
          <w:tcPr>
            <w:tcW w:type="dxa" w:w="5040"/>
            <w:vAlign w:val="center"/>
            <w:tcMar>
              <w:top w:w="90" w:type="dxa"/>
              <w:start w:w="100" w:type="dxa"/>
              <w:bottom w:w="90" w:type="dxa"/>
              <w:end w:w="100" w:type="dxa"/>
            </w:tcMar>
            <w:shd w:fill="F2F6FA"/>
          </w:tcPr>
          <w:p>
            <w:pPr>
              <w:spacing w:after="0"/>
            </w:pPr>
            <w:r>
              <w:rPr>
                <w:b/>
                <w:sz w:val="17"/>
              </w:rPr>
              <w:t>Capacidad indicada</w:t>
            </w:r>
          </w:p>
        </w:tc>
        <w:tc>
          <w:tcPr>
            <w:tcW w:type="dxa" w:w="5040"/>
            <w:vAlign w:val="center"/>
            <w:tcMar>
              <w:top w:w="90" w:type="dxa"/>
              <w:start w:w="100" w:type="dxa"/>
              <w:bottom w:w="90" w:type="dxa"/>
              <w:end w:w="100" w:type="dxa"/>
            </w:tcMar>
            <w:shd w:fill="F2F6FA"/>
          </w:tcPr>
          <w:p>
            <w:pPr>
              <w:spacing w:after="0"/>
            </w:pPr>
            <w:r>
              <w:rPr>
                <w:sz w:val="17"/>
              </w:rPr>
              <w:t>0.1 CPU · 512 MB RAM</w:t>
            </w:r>
          </w:p>
        </w:tc>
      </w:tr>
      <w:tr>
        <w:trPr>
          <w:cantSplit/>
        </w:trPr>
        <w:tc>
          <w:tcPr>
            <w:tcW w:type="dxa" w:w="5040"/>
            <w:vAlign w:val="center"/>
            <w:tcMar>
              <w:top w:w="90" w:type="dxa"/>
              <w:start w:w="100" w:type="dxa"/>
              <w:bottom w:w="90" w:type="dxa"/>
              <w:end w:w="100" w:type="dxa"/>
            </w:tcMar>
          </w:tcPr>
          <w:p>
            <w:pPr>
              <w:spacing w:after="0"/>
            </w:pPr>
            <w:r>
              <w:rPr>
                <w:b/>
                <w:sz w:val="17"/>
              </w:rPr>
              <w:t>Región</w:t>
            </w:r>
          </w:p>
        </w:tc>
        <w:tc>
          <w:tcPr>
            <w:tcW w:type="dxa" w:w="5040"/>
            <w:vAlign w:val="center"/>
            <w:tcMar>
              <w:top w:w="90" w:type="dxa"/>
              <w:start w:w="100" w:type="dxa"/>
              <w:bottom w:w="90" w:type="dxa"/>
              <w:end w:w="100" w:type="dxa"/>
            </w:tcMar>
          </w:tcPr>
          <w:p>
            <w:pPr>
              <w:spacing w:after="0"/>
            </w:pPr>
            <w:r>
              <w:rPr>
                <w:sz w:val="17"/>
              </w:rPr>
              <w:t>Oregon (US West)</w:t>
            </w:r>
          </w:p>
        </w:tc>
      </w:tr>
      <w:tr>
        <w:trPr>
          <w:cantSplit/>
        </w:trPr>
        <w:tc>
          <w:tcPr>
            <w:tcW w:type="dxa" w:w="5040"/>
            <w:vAlign w:val="center"/>
            <w:tcMar>
              <w:top w:w="90" w:type="dxa"/>
              <w:start w:w="100" w:type="dxa"/>
              <w:bottom w:w="90" w:type="dxa"/>
              <w:end w:w="100" w:type="dxa"/>
            </w:tcMar>
            <w:shd w:fill="F2F6FA"/>
          </w:tcPr>
          <w:p>
            <w:pPr>
              <w:spacing w:after="0"/>
            </w:pPr>
            <w:r>
              <w:rPr>
                <w:b/>
                <w:sz w:val="17"/>
              </w:rPr>
              <w:t>Health Check Path</w:t>
            </w:r>
          </w:p>
        </w:tc>
        <w:tc>
          <w:tcPr>
            <w:tcW w:type="dxa" w:w="5040"/>
            <w:vAlign w:val="center"/>
            <w:tcMar>
              <w:top w:w="90" w:type="dxa"/>
              <w:start w:w="100" w:type="dxa"/>
              <w:bottom w:w="90" w:type="dxa"/>
              <w:end w:w="100" w:type="dxa"/>
            </w:tcMar>
            <w:shd w:fill="F2F6FA"/>
          </w:tcPr>
          <w:p>
            <w:pPr>
              <w:spacing w:after="0"/>
            </w:pPr>
            <w:r>
              <w:rPr>
                <w:sz w:val="17"/>
              </w:rPr>
              <w:t>/health</w:t>
            </w:r>
          </w:p>
        </w:tc>
      </w:tr>
      <w:tr>
        <w:trPr>
          <w:cantSplit/>
        </w:trPr>
        <w:tc>
          <w:tcPr>
            <w:tcW w:type="dxa" w:w="5040"/>
            <w:vAlign w:val="center"/>
            <w:tcMar>
              <w:top w:w="90" w:type="dxa"/>
              <w:start w:w="100" w:type="dxa"/>
              <w:bottom w:w="90" w:type="dxa"/>
              <w:end w:w="100" w:type="dxa"/>
            </w:tcMar>
          </w:tcPr>
          <w:p>
            <w:pPr>
              <w:spacing w:after="0"/>
            </w:pPr>
            <w:r>
              <w:rPr>
                <w:b/>
                <w:sz w:val="17"/>
              </w:rPr>
              <w:t>Puerto de aplicación</w:t>
            </w:r>
          </w:p>
        </w:tc>
        <w:tc>
          <w:tcPr>
            <w:tcW w:type="dxa" w:w="5040"/>
            <w:vAlign w:val="center"/>
            <w:tcMar>
              <w:top w:w="90" w:type="dxa"/>
              <w:start w:w="100" w:type="dxa"/>
              <w:bottom w:w="90" w:type="dxa"/>
              <w:end w:w="100" w:type="dxa"/>
            </w:tcMar>
          </w:tcPr>
          <w:p>
            <w:pPr>
              <w:spacing w:after="0"/>
            </w:pPr>
            <w:r>
              <w:rPr>
                <w:sz w:val="17"/>
              </w:rPr>
              <w:t>10000 (Render asignó el puerto y Uvicorn escuchó en 0.0.0.0)</w:t>
            </w:r>
          </w:p>
        </w:tc>
      </w:tr>
      <w:tr>
        <w:trPr>
          <w:cantSplit/>
        </w:trPr>
        <w:tc>
          <w:tcPr>
            <w:tcW w:type="dxa" w:w="5040"/>
            <w:vAlign w:val="center"/>
            <w:tcMar>
              <w:top w:w="90" w:type="dxa"/>
              <w:start w:w="100" w:type="dxa"/>
              <w:bottom w:w="90" w:type="dxa"/>
              <w:end w:w="100" w:type="dxa"/>
            </w:tcMar>
            <w:shd w:fill="F2F6FA"/>
          </w:tcPr>
          <w:p>
            <w:pPr>
              <w:spacing w:after="0"/>
            </w:pPr>
            <w:r>
              <w:rPr>
                <w:b/>
                <w:sz w:val="17"/>
              </w:rPr>
              <w:t>Auto-Deploy</w:t>
            </w:r>
          </w:p>
        </w:tc>
        <w:tc>
          <w:tcPr>
            <w:tcW w:type="dxa" w:w="5040"/>
            <w:vAlign w:val="center"/>
            <w:tcMar>
              <w:top w:w="90" w:type="dxa"/>
              <w:start w:w="100" w:type="dxa"/>
              <w:bottom w:w="90" w:type="dxa"/>
              <w:end w:w="100" w:type="dxa"/>
            </w:tcMar>
            <w:shd w:fill="F2F6FA"/>
          </w:tcPr>
          <w:p>
            <w:pPr>
              <w:spacing w:after="0"/>
            </w:pPr>
            <w:r>
              <w:rPr>
                <w:sz w:val="17"/>
              </w:rPr>
              <w:t>On Commit</w:t>
            </w:r>
          </w:p>
        </w:tc>
      </w:tr>
      <w:tr>
        <w:trPr>
          <w:cantSplit/>
        </w:trPr>
        <w:tc>
          <w:tcPr>
            <w:tcW w:type="dxa" w:w="5040"/>
            <w:vAlign w:val="center"/>
            <w:tcMar>
              <w:top w:w="90" w:type="dxa"/>
              <w:start w:w="100" w:type="dxa"/>
              <w:bottom w:w="90" w:type="dxa"/>
              <w:end w:w="100" w:type="dxa"/>
            </w:tcMar>
          </w:tcPr>
          <w:p>
            <w:pPr>
              <w:spacing w:after="0"/>
            </w:pPr>
            <w:r>
              <w:rPr>
                <w:b/>
                <w:sz w:val="17"/>
              </w:rPr>
              <w:t>Variables de entorno</w:t>
            </w:r>
          </w:p>
        </w:tc>
        <w:tc>
          <w:tcPr>
            <w:tcW w:type="dxa" w:w="5040"/>
            <w:vAlign w:val="center"/>
            <w:tcMar>
              <w:top w:w="90" w:type="dxa"/>
              <w:start w:w="100" w:type="dxa"/>
              <w:bottom w:w="90" w:type="dxa"/>
              <w:end w:w="100" w:type="dxa"/>
            </w:tcMar>
          </w:tcPr>
          <w:p>
            <w:pPr>
              <w:spacing w:after="0"/>
            </w:pPr>
            <w:r>
              <w:rPr>
                <w:sz w:val="17"/>
              </w:rPr>
              <w:t>No se configuraron variables adicionales</w:t>
            </w:r>
          </w:p>
        </w:tc>
      </w:tr>
      <w:tr>
        <w:trPr>
          <w:cantSplit/>
        </w:trPr>
        <w:tc>
          <w:tcPr>
            <w:tcW w:type="dxa" w:w="5040"/>
            <w:vAlign w:val="center"/>
            <w:tcMar>
              <w:top w:w="90" w:type="dxa"/>
              <w:start w:w="100" w:type="dxa"/>
              <w:bottom w:w="90" w:type="dxa"/>
              <w:end w:w="100" w:type="dxa"/>
            </w:tcMar>
            <w:shd w:fill="F2F6FA"/>
          </w:tcPr>
          <w:p>
            <w:pPr>
              <w:spacing w:after="0"/>
            </w:pPr>
            <w:r>
              <w:rPr>
                <w:b/>
                <w:sz w:val="17"/>
              </w:rPr>
              <w:t>Persistencia</w:t>
            </w:r>
          </w:p>
        </w:tc>
        <w:tc>
          <w:tcPr>
            <w:tcW w:type="dxa" w:w="5040"/>
            <w:vAlign w:val="center"/>
            <w:tcMar>
              <w:top w:w="90" w:type="dxa"/>
              <w:start w:w="100" w:type="dxa"/>
              <w:bottom w:w="90" w:type="dxa"/>
              <w:end w:w="100" w:type="dxa"/>
            </w:tcMar>
            <w:shd w:fill="F2F6FA"/>
          </w:tcPr>
          <w:p>
            <w:pPr>
              <w:spacing w:after="0"/>
            </w:pPr>
            <w:r>
              <w:rPr>
                <w:sz w:val="17"/>
              </w:rPr>
              <w:t>No se configuró disco persistente</w:t>
            </w:r>
          </w:p>
        </w:tc>
      </w:tr>
    </w:tbl>
    <w:p>
      <w:pPr>
        <w:spacing w:after="20"/>
      </w:pPr>
    </w:p>
    <w:p>
      <w:r>
        <w:t>Los logs muestran que Render clonó el repositorio, construyó la imagen a partir de python:3.12-slim, instaló las dependencias fijadas y copió backend, frontend y modelos. Durante el arranque aparece “Modelo de CIMA cargado desde /app/modelos/Regresion_Logistica.joblib”, seguido de “Application startup complete” y Uvicorn escuchando en 0.0.0.0:10000. Render confirmó “Your service is live”.</w:t>
      </w:r>
    </w:p>
    <w:p>
      <w:pPr>
        <w:jc w:val="center"/>
      </w:pPr>
      <w:r>
        <w:drawing>
          <wp:inline xmlns:a="http://schemas.openxmlformats.org/drawingml/2006/main" xmlns:pic="http://schemas.openxmlformats.org/drawingml/2006/picture">
            <wp:extent cx="6035040" cy="3748326"/>
            <wp:docPr id="2" name="Picture 2"/>
            <wp:cNvGraphicFramePr>
              <a:graphicFrameLocks noChangeAspect="1"/>
            </wp:cNvGraphicFramePr>
            <a:graphic>
              <a:graphicData uri="http://schemas.openxmlformats.org/drawingml/2006/picture">
                <pic:pic>
                  <pic:nvPicPr>
                    <pic:cNvPr id="0" name="render_deployment_logs.png"/>
                    <pic:cNvPicPr/>
                  </pic:nvPicPr>
                  <pic:blipFill>
                    <a:blip r:embed="rId14"/>
                    <a:stretch>
                      <a:fillRect/>
                    </a:stretch>
                  </pic:blipFill>
                  <pic:spPr>
                    <a:xfrm>
                      <a:off x="0" y="0"/>
                      <a:ext cx="6035040" cy="3748326"/>
                    </a:xfrm>
                    <a:prstGeom prst="rect"/>
                  </pic:spPr>
                </pic:pic>
              </a:graphicData>
            </a:graphic>
          </wp:inline>
        </w:drawing>
      </w:r>
    </w:p>
    <w:p>
      <w:pPr>
        <w:jc w:val="center"/>
      </w:pPr>
      <w:r>
        <w:rPr>
          <w:i/>
          <w:color w:val="5B6573"/>
          <w:sz w:val="16"/>
        </w:rPr>
        <w:t>Figura 2. Logs de Render: construcción, carga del modelo, arranque y confirmación Live.</w:t>
      </w:r>
    </w:p>
    <w:p>
      <w:r>
        <w:t>Los logs incluyen solicitudes periódicas GET /health con HTTP 200, realizadas por el mecanismo de comprobación de salud del servicio. También se observó una solicitud a /favicon.ico con HTTP 404; es un recurso accesorio no disponible y no afectó el funcionamiento de la aplicación. Una solicitud HEAD / inicial obtuvo 405 durante el arranque; el servicio continuó y fue declarado Live.</w:t>
      </w:r>
    </w:p>
    <w:tbl>
      <w:tblPr>
        <w:tblW w:type="auto" w:w="0"/>
        <w:jc w:val="center"/>
        <w:tblLook w:firstColumn="1" w:firstRow="1" w:lastColumn="0" w:lastRow="0" w:noHBand="0" w:noVBand="1" w:val="04A0"/>
      </w:tblPr>
      <w:tblGrid>
        <w:gridCol w:w="10080"/>
      </w:tblGrid>
      <w:tr>
        <w:tc>
          <w:tcPr>
            <w:tcW w:type="dxa" w:w="10080"/>
            <w:shd w:fill="FFF7E6"/>
            <w:tcMar>
              <w:top w:w="160" w:type="dxa"/>
              <w:start w:w="200" w:type="dxa"/>
              <w:bottom w:w="160" w:type="dxa"/>
              <w:end w:w="200" w:type="dxa"/>
            </w:tcMar>
          </w:tcPr>
          <w:p>
            <w:r>
              <w:rPr>
                <w:b/>
                <w:color w:val="B7791F"/>
              </w:rPr>
              <w:t xml:space="preserve">Limitación del plan gratuito  </w:t>
            </w:r>
            <w:r>
              <w:t>Render Free puede suspender la instancia después de un periodo de inactividad y reactivarla con una nueva solicitud. El primer acceso tras la suspensión puede tardar. Este comportamiento debe considerarse al realizar la demostración.</w:t>
            </w:r>
          </w:p>
        </w:tc>
      </w:tr>
    </w:tbl>
    <w:p>
      <w:pPr>
        <w:spacing w:after="20"/>
      </w:pPr>
    </w:p>
    <w:p>
      <w:pPr>
        <w:pStyle w:val="Heading1"/>
      </w:pPr>
      <w:r>
        <w:t>6. Pruebas funcionales desde la interfaz web</w:t>
      </w:r>
    </w:p>
    <w:p>
      <w:r>
        <w:t>Se ejecutaron cuatro consultas sintéticas desde la interfaz pública. Las clases y puntuaciones siguientes corresponden a los resultados visibles en las capturas.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792"/>
            <w:shd w:fill="12365A"/>
            <w:tcMar>
              <w:top w:w="100" w:type="dxa"/>
              <w:start w:w="100" w:type="dxa"/>
              <w:bottom w:w="100" w:type="dxa"/>
              <w:end w:w="100" w:type="dxa"/>
            </w:tcMar>
            <w:vAlign w:val="center"/>
          </w:tcPr>
          <w:p>
            <w:r>
              <w:rPr>
                <w:b/>
                <w:color w:val="FFFFFF"/>
                <w:sz w:val="14"/>
              </w:rPr>
              <w:t>ID</w:t>
            </w:r>
          </w:p>
        </w:tc>
        <w:tc>
          <w:tcPr>
            <w:tcW w:type="dxa" w:w="2232"/>
            <w:shd w:fill="12365A"/>
            <w:tcMar>
              <w:top w:w="100" w:type="dxa"/>
              <w:start w:w="100" w:type="dxa"/>
              <w:bottom w:w="100" w:type="dxa"/>
              <w:end w:w="100" w:type="dxa"/>
            </w:tcMar>
            <w:vAlign w:val="center"/>
          </w:tcPr>
          <w:p>
            <w:r>
              <w:rPr>
                <w:b/>
                <w:color w:val="FFFFFF"/>
                <w:sz w:val="14"/>
              </w:rPr>
              <w:t>Consulta sintética (resumen)</w:t>
            </w:r>
          </w:p>
        </w:tc>
        <w:tc>
          <w:tcPr>
            <w:tcW w:type="dxa" w:w="1152"/>
            <w:shd w:fill="12365A"/>
            <w:tcMar>
              <w:top w:w="100" w:type="dxa"/>
              <w:start w:w="100" w:type="dxa"/>
              <w:bottom w:w="100" w:type="dxa"/>
              <w:end w:w="100" w:type="dxa"/>
            </w:tcMar>
            <w:vAlign w:val="center"/>
          </w:tcPr>
          <w:p>
            <w:r>
              <w:rPr>
                <w:b/>
                <w:color w:val="FFFFFF"/>
                <w:sz w:val="14"/>
              </w:rPr>
              <w:t>Clase predicha</w:t>
            </w:r>
          </w:p>
        </w:tc>
        <w:tc>
          <w:tcPr>
            <w:tcW w:type="dxa" w:w="936"/>
            <w:shd w:fill="12365A"/>
            <w:tcMar>
              <w:top w:w="100" w:type="dxa"/>
              <w:start w:w="100" w:type="dxa"/>
              <w:bottom w:w="100" w:type="dxa"/>
              <w:end w:w="100" w:type="dxa"/>
            </w:tcMar>
            <w:vAlign w:val="center"/>
          </w:tcPr>
          <w:p>
            <w:r>
              <w:rPr>
                <w:b/>
                <w:color w:val="FFFFFF"/>
                <w:sz w:val="14"/>
              </w:rPr>
              <w:t>Puntaje IND.</w:t>
            </w:r>
          </w:p>
        </w:tc>
        <w:tc>
          <w:tcPr>
            <w:tcW w:type="dxa" w:w="893"/>
            <w:shd w:fill="12365A"/>
            <w:tcMar>
              <w:top w:w="100" w:type="dxa"/>
              <w:start w:w="100" w:type="dxa"/>
              <w:bottom w:w="100" w:type="dxa"/>
              <w:end w:w="100" w:type="dxa"/>
            </w:tcMar>
            <w:vAlign w:val="center"/>
          </w:tcPr>
          <w:p>
            <w:r>
              <w:rPr>
                <w:b/>
                <w:color w:val="FFFFFF"/>
                <w:sz w:val="14"/>
              </w:rPr>
              <w:t>Umbral</w:t>
            </w:r>
          </w:p>
        </w:tc>
        <w:tc>
          <w:tcPr>
            <w:tcW w:type="dxa" w:w="1800"/>
            <w:shd w:fill="12365A"/>
            <w:tcMar>
              <w:top w:w="100" w:type="dxa"/>
              <w:start w:w="100" w:type="dxa"/>
              <w:bottom w:w="100" w:type="dxa"/>
              <w:end w:w="100" w:type="dxa"/>
            </w:tcMar>
            <w:vAlign w:val="center"/>
          </w:tcPr>
          <w:p>
            <w:r>
              <w:rPr>
                <w:b/>
                <w:color w:val="FFFFFF"/>
                <w:sz w:val="14"/>
              </w:rPr>
              <w:t>Decisión</w:t>
            </w:r>
          </w:p>
        </w:tc>
        <w:tc>
          <w:tcPr>
            <w:tcW w:type="dxa" w:w="1800"/>
            <w:shd w:fill="12365A"/>
            <w:tcMar>
              <w:top w:w="100" w:type="dxa"/>
              <w:start w:w="100" w:type="dxa"/>
              <w:bottom w:w="100" w:type="dxa"/>
              <w:end w:w="100" w:type="dxa"/>
            </w:tcMar>
            <w:vAlign w:val="center"/>
          </w:tcPr>
          <w:p>
            <w:r>
              <w:rPr>
                <w:b/>
                <w:color w:val="FFFFFF"/>
                <w:sz w:val="14"/>
              </w:rPr>
              <w:t>Observación</w:t>
            </w:r>
          </w:p>
        </w:tc>
      </w:tr>
      <w:tr>
        <w:trPr>
          <w:cantSplit/>
        </w:trPr>
        <w:tc>
          <w:tcPr>
            <w:tcW w:type="dxa" w:w="792"/>
            <w:vAlign w:val="center"/>
            <w:tcMar>
              <w:top w:w="90" w:type="dxa"/>
              <w:start w:w="100" w:type="dxa"/>
              <w:bottom w:w="90" w:type="dxa"/>
              <w:end w:w="100" w:type="dxa"/>
            </w:tcMar>
            <w:shd w:fill="F2F6FA"/>
          </w:tcPr>
          <w:p>
            <w:pPr>
              <w:spacing w:after="0"/>
            </w:pPr>
            <w:r>
              <w:rPr>
                <w:b/>
                <w:sz w:val="14"/>
              </w:rPr>
              <w:t>WEB-01</w:t>
            </w:r>
          </w:p>
        </w:tc>
        <w:tc>
          <w:tcPr>
            <w:tcW w:type="dxa" w:w="2232"/>
            <w:vAlign w:val="center"/>
            <w:tcMar>
              <w:top w:w="90" w:type="dxa"/>
              <w:start w:w="100" w:type="dxa"/>
              <w:bottom w:w="90" w:type="dxa"/>
              <w:end w:w="100" w:type="dxa"/>
            </w:tcMar>
            <w:shd w:fill="F2F6FA"/>
          </w:tcPr>
          <w:p>
            <w:pPr>
              <w:spacing w:after="0"/>
            </w:pPr>
            <w:r>
              <w:rPr>
                <w:sz w:val="14"/>
              </w:rPr>
              <w:t>Solicitud de confirmar un pago asociado al folio 12345.</w:t>
            </w:r>
          </w:p>
        </w:tc>
        <w:tc>
          <w:tcPr>
            <w:tcW w:type="dxa" w:w="1152"/>
            <w:vAlign w:val="center"/>
            <w:tcMar>
              <w:top w:w="90" w:type="dxa"/>
              <w:start w:w="100" w:type="dxa"/>
              <w:bottom w:w="90" w:type="dxa"/>
              <w:end w:w="100" w:type="dxa"/>
            </w:tcMar>
            <w:shd w:fill="F2F6FA"/>
          </w:tcPr>
          <w:p>
            <w:pPr>
              <w:spacing w:after="0"/>
            </w:pPr>
            <w:r>
              <w:rPr>
                <w:sz w:val="14"/>
              </w:rPr>
              <w:t>INDIVIDUAL</w:t>
            </w:r>
          </w:p>
        </w:tc>
        <w:tc>
          <w:tcPr>
            <w:tcW w:type="dxa" w:w="936"/>
            <w:vAlign w:val="center"/>
            <w:tcMar>
              <w:top w:w="90" w:type="dxa"/>
              <w:start w:w="100" w:type="dxa"/>
              <w:bottom w:w="90" w:type="dxa"/>
              <w:end w:w="100" w:type="dxa"/>
            </w:tcMar>
            <w:shd w:fill="F2F6FA"/>
          </w:tcPr>
          <w:p>
            <w:pPr>
              <w:spacing w:after="0"/>
            </w:pPr>
            <w:r>
              <w:rPr>
                <w:sz w:val="14"/>
              </w:rPr>
              <w:t>0.2651</w:t>
            </w:r>
          </w:p>
        </w:tc>
        <w:tc>
          <w:tcPr>
            <w:tcW w:type="dxa" w:w="893"/>
            <w:vAlign w:val="center"/>
            <w:tcMar>
              <w:top w:w="90" w:type="dxa"/>
              <w:start w:w="100" w:type="dxa"/>
              <w:bottom w:w="90" w:type="dxa"/>
              <w:end w:w="100" w:type="dxa"/>
            </w:tcMar>
            <w:shd w:fill="F2F6FA"/>
          </w:tcPr>
          <w:p>
            <w:pPr>
              <w:spacing w:after="0"/>
            </w:pPr>
            <w:r>
              <w:rPr>
                <w:sz w:val="14"/>
              </w:rPr>
              <w:t>0.276334</w:t>
            </w:r>
          </w:p>
        </w:tc>
        <w:tc>
          <w:tcPr>
            <w:tcW w:type="dxa" w:w="1800"/>
            <w:vAlign w:val="center"/>
            <w:tcMar>
              <w:top w:w="90" w:type="dxa"/>
              <w:start w:w="100" w:type="dxa"/>
              <w:bottom w:w="90" w:type="dxa"/>
              <w:end w:w="100" w:type="dxa"/>
            </w:tcMar>
            <w:shd w:fill="F2F6FA"/>
          </w:tcPr>
          <w:p>
            <w:pPr>
              <w:spacing w:after="0"/>
            </w:pPr>
            <w:r>
              <w:rPr>
                <w:sz w:val="14"/>
              </w:rPr>
              <w:t>Revisión humana</w:t>
            </w:r>
          </w:p>
        </w:tc>
        <w:tc>
          <w:tcPr>
            <w:tcW w:type="dxa" w:w="1800"/>
            <w:vAlign w:val="center"/>
            <w:tcMar>
              <w:top w:w="90" w:type="dxa"/>
              <w:start w:w="100" w:type="dxa"/>
              <w:bottom w:w="90" w:type="dxa"/>
              <w:end w:w="100" w:type="dxa"/>
            </w:tcMar>
            <w:shd w:fill="F2F6FA"/>
          </w:tcPr>
          <w:p>
            <w:pPr>
              <w:spacing w:after="0"/>
            </w:pPr>
            <w:r>
              <w:rPr>
                <w:sz w:val="14"/>
              </w:rPr>
              <w:t>Clasificación INDIVIDUAL; puntaje inferior al umbral.</w:t>
            </w:r>
          </w:p>
        </w:tc>
      </w:tr>
      <w:tr>
        <w:trPr>
          <w:cantSplit/>
        </w:trPr>
        <w:tc>
          <w:tcPr>
            <w:tcW w:type="dxa" w:w="792"/>
            <w:vAlign w:val="center"/>
            <w:tcMar>
              <w:top w:w="90" w:type="dxa"/>
              <w:start w:w="100" w:type="dxa"/>
              <w:bottom w:w="90" w:type="dxa"/>
              <w:end w:w="100" w:type="dxa"/>
            </w:tcMar>
          </w:tcPr>
          <w:p>
            <w:pPr>
              <w:spacing w:after="0"/>
            </w:pPr>
            <w:r>
              <w:rPr>
                <w:b/>
                <w:sz w:val="14"/>
              </w:rPr>
              <w:t>WEB-02</w:t>
            </w:r>
          </w:p>
        </w:tc>
        <w:tc>
          <w:tcPr>
            <w:tcW w:type="dxa" w:w="2232"/>
            <w:vAlign w:val="center"/>
            <w:tcMar>
              <w:top w:w="90" w:type="dxa"/>
              <w:start w:w="100" w:type="dxa"/>
              <w:bottom w:w="90" w:type="dxa"/>
              <w:end w:w="100" w:type="dxa"/>
            </w:tcMar>
          </w:tcPr>
          <w:p>
            <w:pPr>
              <w:spacing w:after="0"/>
            </w:pPr>
            <w:r>
              <w:rPr>
                <w:sz w:val="14"/>
              </w:rPr>
              <w:t>Consulta de un único pago CIE, referencia 987654321012 y folio 482731.</w:t>
            </w:r>
          </w:p>
        </w:tc>
        <w:tc>
          <w:tcPr>
            <w:tcW w:type="dxa" w:w="1152"/>
            <w:vAlign w:val="center"/>
            <w:tcMar>
              <w:top w:w="90" w:type="dxa"/>
              <w:start w:w="100" w:type="dxa"/>
              <w:bottom w:w="90" w:type="dxa"/>
              <w:end w:w="100" w:type="dxa"/>
            </w:tcMar>
          </w:tcPr>
          <w:p>
            <w:pPr>
              <w:spacing w:after="0"/>
            </w:pPr>
            <w:r>
              <w:rPr>
                <w:sz w:val="14"/>
              </w:rPr>
              <w:t>AMBIGUA</w:t>
            </w:r>
          </w:p>
        </w:tc>
        <w:tc>
          <w:tcPr>
            <w:tcW w:type="dxa" w:w="936"/>
            <w:vAlign w:val="center"/>
            <w:tcMar>
              <w:top w:w="90" w:type="dxa"/>
              <w:start w:w="100" w:type="dxa"/>
              <w:bottom w:w="90" w:type="dxa"/>
              <w:end w:w="100" w:type="dxa"/>
            </w:tcMar>
          </w:tcPr>
          <w:p>
            <w:pPr>
              <w:spacing w:after="0"/>
            </w:pPr>
            <w:r>
              <w:rPr>
                <w:sz w:val="14"/>
              </w:rPr>
              <w:t>0.2388</w:t>
            </w:r>
          </w:p>
        </w:tc>
        <w:tc>
          <w:tcPr>
            <w:tcW w:type="dxa" w:w="893"/>
            <w:vAlign w:val="center"/>
            <w:tcMar>
              <w:top w:w="90" w:type="dxa"/>
              <w:start w:w="100" w:type="dxa"/>
              <w:bottom w:w="90" w:type="dxa"/>
              <w:end w:w="100" w:type="dxa"/>
            </w:tcMar>
          </w:tcPr>
          <w:p>
            <w:pPr>
              <w:spacing w:after="0"/>
            </w:pPr>
            <w:r>
              <w:rPr>
                <w:sz w:val="14"/>
              </w:rPr>
              <w:t>0.276334</w:t>
            </w:r>
          </w:p>
        </w:tc>
        <w:tc>
          <w:tcPr>
            <w:tcW w:type="dxa" w:w="1800"/>
            <w:vAlign w:val="center"/>
            <w:tcMar>
              <w:top w:w="90" w:type="dxa"/>
              <w:start w:w="100" w:type="dxa"/>
              <w:bottom w:w="90" w:type="dxa"/>
              <w:end w:w="100" w:type="dxa"/>
            </w:tcMar>
          </w:tcPr>
          <w:p>
            <w:pPr>
              <w:spacing w:after="0"/>
            </w:pPr>
            <w:r>
              <w:rPr>
                <w:sz w:val="14"/>
              </w:rPr>
              <w:t>Revisión humana</w:t>
            </w:r>
          </w:p>
        </w:tc>
        <w:tc>
          <w:tcPr>
            <w:tcW w:type="dxa" w:w="1800"/>
            <w:vAlign w:val="center"/>
            <w:tcMar>
              <w:top w:w="90" w:type="dxa"/>
              <w:start w:w="100" w:type="dxa"/>
              <w:bottom w:w="90" w:type="dxa"/>
              <w:end w:w="100" w:type="dxa"/>
            </w:tcMar>
          </w:tcPr>
          <w:p>
            <w:pPr>
              <w:spacing w:after="0"/>
            </w:pPr>
            <w:r>
              <w:rPr>
                <w:sz w:val="14"/>
              </w:rPr>
              <w:t>La intención era individual; la clase predicha fue AMBIGUA.</w:t>
            </w:r>
          </w:p>
        </w:tc>
      </w:tr>
      <w:tr>
        <w:trPr>
          <w:cantSplit/>
        </w:trPr>
        <w:tc>
          <w:tcPr>
            <w:tcW w:type="dxa" w:w="792"/>
            <w:vAlign w:val="center"/>
            <w:tcMar>
              <w:top w:w="90" w:type="dxa"/>
              <w:start w:w="100" w:type="dxa"/>
              <w:bottom w:w="90" w:type="dxa"/>
              <w:end w:w="100" w:type="dxa"/>
            </w:tcMar>
            <w:shd w:fill="F2F6FA"/>
          </w:tcPr>
          <w:p>
            <w:pPr>
              <w:spacing w:after="0"/>
            </w:pPr>
            <w:r>
              <w:rPr>
                <w:b/>
                <w:sz w:val="14"/>
              </w:rPr>
              <w:t>WEB-03</w:t>
            </w:r>
          </w:p>
        </w:tc>
        <w:tc>
          <w:tcPr>
            <w:tcW w:type="dxa" w:w="2232"/>
            <w:vAlign w:val="center"/>
            <w:tcMar>
              <w:top w:w="90" w:type="dxa"/>
              <w:start w:w="100" w:type="dxa"/>
              <w:bottom w:w="90" w:type="dxa"/>
              <w:end w:w="100" w:type="dxa"/>
            </w:tcMar>
            <w:shd w:fill="F2F6FA"/>
          </w:tcPr>
          <w:p>
            <w:pPr>
              <w:spacing w:after="0"/>
            </w:pPr>
            <w:r>
              <w:rPr>
                <w:sz w:val="14"/>
              </w:rPr>
              <w:t>Solicitud de revisión de paquete de 25 pagos CIE en archivo adjunto.</w:t>
            </w:r>
          </w:p>
        </w:tc>
        <w:tc>
          <w:tcPr>
            <w:tcW w:type="dxa" w:w="1152"/>
            <w:vAlign w:val="center"/>
            <w:tcMar>
              <w:top w:w="90" w:type="dxa"/>
              <w:start w:w="100" w:type="dxa"/>
              <w:bottom w:w="90" w:type="dxa"/>
              <w:end w:w="100" w:type="dxa"/>
            </w:tcMar>
            <w:shd w:fill="F2F6FA"/>
          </w:tcPr>
          <w:p>
            <w:pPr>
              <w:spacing w:after="0"/>
            </w:pPr>
            <w:r>
              <w:rPr>
                <w:sz w:val="14"/>
              </w:rPr>
              <w:t>FUERA_ALCANCE</w:t>
            </w:r>
          </w:p>
        </w:tc>
        <w:tc>
          <w:tcPr>
            <w:tcW w:type="dxa" w:w="936"/>
            <w:vAlign w:val="center"/>
            <w:tcMar>
              <w:top w:w="90" w:type="dxa"/>
              <w:start w:w="100" w:type="dxa"/>
              <w:bottom w:w="90" w:type="dxa"/>
              <w:end w:w="100" w:type="dxa"/>
            </w:tcMar>
            <w:shd w:fill="F2F6FA"/>
          </w:tcPr>
          <w:p>
            <w:pPr>
              <w:spacing w:after="0"/>
            </w:pPr>
            <w:r>
              <w:rPr>
                <w:sz w:val="14"/>
              </w:rPr>
              <w:t>0.2356</w:t>
            </w:r>
          </w:p>
        </w:tc>
        <w:tc>
          <w:tcPr>
            <w:tcW w:type="dxa" w:w="893"/>
            <w:vAlign w:val="center"/>
            <w:tcMar>
              <w:top w:w="90" w:type="dxa"/>
              <w:start w:w="100" w:type="dxa"/>
              <w:bottom w:w="90" w:type="dxa"/>
              <w:end w:w="100" w:type="dxa"/>
            </w:tcMar>
            <w:shd w:fill="F2F6FA"/>
          </w:tcPr>
          <w:p>
            <w:pPr>
              <w:spacing w:after="0"/>
            </w:pPr>
            <w:r>
              <w:rPr>
                <w:sz w:val="14"/>
              </w:rPr>
              <w:t>0.276334</w:t>
            </w:r>
          </w:p>
        </w:tc>
        <w:tc>
          <w:tcPr>
            <w:tcW w:type="dxa" w:w="1800"/>
            <w:vAlign w:val="center"/>
            <w:tcMar>
              <w:top w:w="90" w:type="dxa"/>
              <w:start w:w="100" w:type="dxa"/>
              <w:bottom w:w="90" w:type="dxa"/>
              <w:end w:w="100" w:type="dxa"/>
            </w:tcMar>
            <w:shd w:fill="F2F6FA"/>
          </w:tcPr>
          <w:p>
            <w:pPr>
              <w:spacing w:after="0"/>
            </w:pPr>
            <w:r>
              <w:rPr>
                <w:sz w:val="14"/>
              </w:rPr>
              <w:t>Revisión humana</w:t>
            </w:r>
          </w:p>
        </w:tc>
        <w:tc>
          <w:tcPr>
            <w:tcW w:type="dxa" w:w="1800"/>
            <w:vAlign w:val="center"/>
            <w:tcMar>
              <w:top w:w="90" w:type="dxa"/>
              <w:start w:w="100" w:type="dxa"/>
              <w:bottom w:w="90" w:type="dxa"/>
              <w:end w:w="100" w:type="dxa"/>
            </w:tcMar>
            <w:shd w:fill="F2F6FA"/>
          </w:tcPr>
          <w:p>
            <w:pPr>
              <w:spacing w:after="0"/>
            </w:pPr>
            <w:r>
              <w:rPr>
                <w:sz w:val="14"/>
              </w:rPr>
              <w:t>La intención era PAQUETE; el modelo devolvió FUERA_ALCANCE.</w:t>
            </w:r>
          </w:p>
        </w:tc>
      </w:tr>
      <w:tr>
        <w:trPr>
          <w:cantSplit/>
        </w:trPr>
        <w:tc>
          <w:tcPr>
            <w:tcW w:type="dxa" w:w="792"/>
            <w:vAlign w:val="center"/>
            <w:tcMar>
              <w:top w:w="90" w:type="dxa"/>
              <w:start w:w="100" w:type="dxa"/>
              <w:bottom w:w="90" w:type="dxa"/>
              <w:end w:w="100" w:type="dxa"/>
            </w:tcMar>
          </w:tcPr>
          <w:p>
            <w:pPr>
              <w:spacing w:after="0"/>
            </w:pPr>
            <w:r>
              <w:rPr>
                <w:b/>
                <w:sz w:val="14"/>
              </w:rPr>
              <w:t>WEB-04</w:t>
            </w:r>
          </w:p>
        </w:tc>
        <w:tc>
          <w:tcPr>
            <w:tcW w:type="dxa" w:w="2232"/>
            <w:vAlign w:val="center"/>
            <w:tcMar>
              <w:top w:w="90" w:type="dxa"/>
              <w:start w:w="100" w:type="dxa"/>
              <w:bottom w:w="90" w:type="dxa"/>
              <w:end w:w="100" w:type="dxa"/>
            </w:tcMar>
          </w:tcPr>
          <w:p>
            <w:pPr>
              <w:spacing w:after="0"/>
            </w:pPr>
            <w:r>
              <w:rPr>
                <w:sz w:val="14"/>
              </w:rPr>
              <w:t>Depósito pendiente de identificar, sin folio ni referencia.</w:t>
            </w:r>
          </w:p>
        </w:tc>
        <w:tc>
          <w:tcPr>
            <w:tcW w:type="dxa" w:w="1152"/>
            <w:vAlign w:val="center"/>
            <w:tcMar>
              <w:top w:w="90" w:type="dxa"/>
              <w:start w:w="100" w:type="dxa"/>
              <w:bottom w:w="90" w:type="dxa"/>
              <w:end w:w="100" w:type="dxa"/>
            </w:tcMar>
          </w:tcPr>
          <w:p>
            <w:pPr>
              <w:spacing w:after="0"/>
            </w:pPr>
            <w:r>
              <w:rPr>
                <w:sz w:val="14"/>
              </w:rPr>
              <w:t>AMBIGUA</w:t>
            </w:r>
          </w:p>
        </w:tc>
        <w:tc>
          <w:tcPr>
            <w:tcW w:type="dxa" w:w="936"/>
            <w:vAlign w:val="center"/>
            <w:tcMar>
              <w:top w:w="90" w:type="dxa"/>
              <w:start w:w="100" w:type="dxa"/>
              <w:bottom w:w="90" w:type="dxa"/>
              <w:end w:w="100" w:type="dxa"/>
            </w:tcMar>
          </w:tcPr>
          <w:p>
            <w:pPr>
              <w:spacing w:after="0"/>
            </w:pPr>
            <w:r>
              <w:rPr>
                <w:sz w:val="14"/>
              </w:rPr>
              <w:t>0.2344</w:t>
            </w:r>
          </w:p>
        </w:tc>
        <w:tc>
          <w:tcPr>
            <w:tcW w:type="dxa" w:w="893"/>
            <w:vAlign w:val="center"/>
            <w:tcMar>
              <w:top w:w="90" w:type="dxa"/>
              <w:start w:w="100" w:type="dxa"/>
              <w:bottom w:w="90" w:type="dxa"/>
              <w:end w:w="100" w:type="dxa"/>
            </w:tcMar>
          </w:tcPr>
          <w:p>
            <w:pPr>
              <w:spacing w:after="0"/>
            </w:pPr>
            <w:r>
              <w:rPr>
                <w:sz w:val="14"/>
              </w:rPr>
              <w:t>0.276334</w:t>
            </w:r>
          </w:p>
        </w:tc>
        <w:tc>
          <w:tcPr>
            <w:tcW w:type="dxa" w:w="1800"/>
            <w:vAlign w:val="center"/>
            <w:tcMar>
              <w:top w:w="90" w:type="dxa"/>
              <w:start w:w="100" w:type="dxa"/>
              <w:bottom w:w="90" w:type="dxa"/>
              <w:end w:w="100" w:type="dxa"/>
            </w:tcMar>
          </w:tcPr>
          <w:p>
            <w:pPr>
              <w:spacing w:after="0"/>
            </w:pPr>
            <w:r>
              <w:rPr>
                <w:sz w:val="14"/>
              </w:rPr>
              <w:t>Revisión humana</w:t>
            </w:r>
          </w:p>
        </w:tc>
        <w:tc>
          <w:tcPr>
            <w:tcW w:type="dxa" w:w="1800"/>
            <w:vAlign w:val="center"/>
            <w:tcMar>
              <w:top w:w="90" w:type="dxa"/>
              <w:start w:w="100" w:type="dxa"/>
              <w:bottom w:w="90" w:type="dxa"/>
              <w:end w:w="100" w:type="dxa"/>
            </w:tcMar>
          </w:tcPr>
          <w:p>
            <w:pPr>
              <w:spacing w:after="0"/>
            </w:pPr>
            <w:r>
              <w:rPr>
                <w:sz w:val="14"/>
              </w:rPr>
              <w:t>Resultado congruente con una consulta sin datos suficientes.</w:t>
            </w:r>
          </w:p>
        </w:tc>
      </w:tr>
    </w:tbl>
    <w:p>
      <w:pPr>
        <w:spacing w:after="20"/>
      </w:pPr>
    </w:p>
    <w:p>
      <w:r>
        <w:t>En las cuatro pruebas de interfaz, el puntaje de INDIVIDUAL quedó por debajo del umbral y la aplicación mostró revisión humana. Dos de las consultas no fueron clasificadas en la categoría sugerida por su intención (WEB-02 y WEB-03); ambas discrepancias se consideran hallazgos de calidad del clasificador.</w:t>
      </w:r>
    </w:p>
    <w:p>
      <w:pPr>
        <w:pStyle w:val="Heading1"/>
      </w:pPr>
      <w:r>
        <w:t>7. Pruebas funcionales de API mediante Swagger UI</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835"/>
            <w:shd w:fill="12365A"/>
            <w:tcMar>
              <w:top w:w="100" w:type="dxa"/>
              <w:start w:w="100" w:type="dxa"/>
              <w:bottom w:w="100" w:type="dxa"/>
              <w:end w:w="100" w:type="dxa"/>
            </w:tcMar>
            <w:vAlign w:val="center"/>
          </w:tcPr>
          <w:p>
            <w:r>
              <w:rPr>
                <w:b/>
                <w:color w:val="FFFFFF"/>
                <w:sz w:val="15"/>
              </w:rPr>
              <w:t>ID</w:t>
            </w:r>
          </w:p>
        </w:tc>
        <w:tc>
          <w:tcPr>
            <w:tcW w:type="dxa" w:w="2520"/>
            <w:shd w:fill="12365A"/>
            <w:tcMar>
              <w:top w:w="100" w:type="dxa"/>
              <w:start w:w="100" w:type="dxa"/>
              <w:bottom w:w="100" w:type="dxa"/>
              <w:end w:w="100" w:type="dxa"/>
            </w:tcMar>
            <w:vAlign w:val="center"/>
          </w:tcPr>
          <w:p>
            <w:r>
              <w:rPr>
                <w:b/>
                <w:color w:val="FFFFFF"/>
                <w:sz w:val="15"/>
              </w:rPr>
              <w:t>Endpoint / escenario</w:t>
            </w:r>
          </w:p>
        </w:tc>
        <w:tc>
          <w:tcPr>
            <w:tcW w:type="dxa" w:w="605"/>
            <w:shd w:fill="12365A"/>
            <w:tcMar>
              <w:top w:w="100" w:type="dxa"/>
              <w:start w:w="100" w:type="dxa"/>
              <w:bottom w:w="100" w:type="dxa"/>
              <w:end w:w="100" w:type="dxa"/>
            </w:tcMar>
            <w:vAlign w:val="center"/>
          </w:tcPr>
          <w:p>
            <w:r>
              <w:rPr>
                <w:b/>
                <w:color w:val="FFFFFF"/>
                <w:sz w:val="15"/>
              </w:rPr>
              <w:t>HTTP</w:t>
            </w:r>
          </w:p>
        </w:tc>
        <w:tc>
          <w:tcPr>
            <w:tcW w:type="dxa" w:w="4464"/>
            <w:shd w:fill="12365A"/>
            <w:tcMar>
              <w:top w:w="100" w:type="dxa"/>
              <w:start w:w="100" w:type="dxa"/>
              <w:bottom w:w="100" w:type="dxa"/>
              <w:end w:w="100" w:type="dxa"/>
            </w:tcMar>
            <w:vAlign w:val="center"/>
          </w:tcPr>
          <w:p>
            <w:r>
              <w:rPr>
                <w:b/>
                <w:color w:val="FFFFFF"/>
                <w:sz w:val="15"/>
              </w:rPr>
              <w:t>Resultado observado</w:t>
            </w:r>
          </w:p>
        </w:tc>
        <w:tc>
          <w:tcPr>
            <w:tcW w:type="dxa" w:w="1080"/>
            <w:shd w:fill="12365A"/>
            <w:tcMar>
              <w:top w:w="100" w:type="dxa"/>
              <w:start w:w="100" w:type="dxa"/>
              <w:bottom w:w="100" w:type="dxa"/>
              <w:end w:w="100" w:type="dxa"/>
            </w:tcMar>
            <w:vAlign w:val="center"/>
          </w:tcPr>
          <w:p>
            <w:r>
              <w:rPr>
                <w:b/>
                <w:color w:val="FFFFFF"/>
                <w:sz w:val="15"/>
              </w:rPr>
              <w:t>Evaluación</w:t>
            </w:r>
          </w:p>
        </w:tc>
      </w:tr>
      <w:tr>
        <w:trPr>
          <w:cantSplit/>
        </w:trPr>
        <w:tc>
          <w:tcPr>
            <w:tcW w:type="dxa" w:w="835"/>
            <w:vAlign w:val="center"/>
            <w:tcMar>
              <w:top w:w="90" w:type="dxa"/>
              <w:start w:w="100" w:type="dxa"/>
              <w:bottom w:w="90" w:type="dxa"/>
              <w:end w:w="100" w:type="dxa"/>
            </w:tcMar>
            <w:shd w:fill="F2F6FA"/>
          </w:tcPr>
          <w:p>
            <w:pPr>
              <w:spacing w:after="0"/>
            </w:pPr>
            <w:r>
              <w:rPr>
                <w:b/>
                <w:sz w:val="15"/>
              </w:rPr>
              <w:t>API-01</w:t>
            </w:r>
          </w:p>
        </w:tc>
        <w:tc>
          <w:tcPr>
            <w:tcW w:type="dxa" w:w="2520"/>
            <w:vAlign w:val="center"/>
            <w:tcMar>
              <w:top w:w="90" w:type="dxa"/>
              <w:start w:w="100" w:type="dxa"/>
              <w:bottom w:w="90" w:type="dxa"/>
              <w:end w:w="100" w:type="dxa"/>
            </w:tcMar>
            <w:shd w:fill="F2F6FA"/>
          </w:tcPr>
          <w:p>
            <w:pPr>
              <w:spacing w:after="0"/>
            </w:pPr>
            <w:r>
              <w:rPr>
                <w:sz w:val="15"/>
              </w:rPr>
              <w:t>GET /health</w:t>
            </w:r>
          </w:p>
        </w:tc>
        <w:tc>
          <w:tcPr>
            <w:tcW w:type="dxa" w:w="605"/>
            <w:vAlign w:val="center"/>
            <w:tcMar>
              <w:top w:w="90" w:type="dxa"/>
              <w:start w:w="100" w:type="dxa"/>
              <w:bottom w:w="90" w:type="dxa"/>
              <w:end w:w="100" w:type="dxa"/>
            </w:tcMar>
            <w:shd w:fill="F2F6FA"/>
          </w:tcPr>
          <w:p>
            <w:pPr>
              <w:spacing w:after="0"/>
            </w:pPr>
            <w:r>
              <w:rPr>
                <w:sz w:val="15"/>
              </w:rPr>
              <w:t>200</w:t>
            </w:r>
          </w:p>
        </w:tc>
        <w:tc>
          <w:tcPr>
            <w:tcW w:type="dxa" w:w="4464"/>
            <w:vAlign w:val="center"/>
            <w:tcMar>
              <w:top w:w="90" w:type="dxa"/>
              <w:start w:w="100" w:type="dxa"/>
              <w:bottom w:w="90" w:type="dxa"/>
              <w:end w:w="100" w:type="dxa"/>
            </w:tcMar>
            <w:shd w:fill="F2F6FA"/>
          </w:tcPr>
          <w:p>
            <w:pPr>
              <w:spacing w:after="0"/>
            </w:pPr>
            <w:r>
              <w:rPr>
                <w:sz w:val="15"/>
              </w:rPr>
              <w:t>status=ok; model_loaded=true; service=cima-api.</w:t>
            </w:r>
          </w:p>
        </w:tc>
        <w:tc>
          <w:tcPr>
            <w:tcW w:type="dxa" w:w="1080"/>
            <w:vAlign w:val="center"/>
            <w:tcMar>
              <w:top w:w="90" w:type="dxa"/>
              <w:start w:w="100" w:type="dxa"/>
              <w:bottom w:w="90" w:type="dxa"/>
              <w:end w:w="100" w:type="dxa"/>
            </w:tcMar>
            <w:shd w:fill="F2F6FA"/>
          </w:tcPr>
          <w:p>
            <w:pPr>
              <w:spacing w:after="0"/>
            </w:pPr>
            <w:r>
              <w:rPr>
                <w:sz w:val="15"/>
              </w:rPr>
              <w:t>Aprobada</w:t>
            </w:r>
          </w:p>
        </w:tc>
      </w:tr>
      <w:tr>
        <w:trPr>
          <w:cantSplit/>
        </w:trPr>
        <w:tc>
          <w:tcPr>
            <w:tcW w:type="dxa" w:w="835"/>
            <w:vAlign w:val="center"/>
            <w:tcMar>
              <w:top w:w="90" w:type="dxa"/>
              <w:start w:w="100" w:type="dxa"/>
              <w:bottom w:w="90" w:type="dxa"/>
              <w:end w:w="100" w:type="dxa"/>
            </w:tcMar>
          </w:tcPr>
          <w:p>
            <w:pPr>
              <w:spacing w:after="0"/>
            </w:pPr>
            <w:r>
              <w:rPr>
                <w:b/>
                <w:sz w:val="15"/>
              </w:rPr>
              <w:t>API-02</w:t>
            </w:r>
          </w:p>
        </w:tc>
        <w:tc>
          <w:tcPr>
            <w:tcW w:type="dxa" w:w="2520"/>
            <w:vAlign w:val="center"/>
            <w:tcMar>
              <w:top w:w="90" w:type="dxa"/>
              <w:start w:w="100" w:type="dxa"/>
              <w:bottom w:w="90" w:type="dxa"/>
              <w:end w:w="100" w:type="dxa"/>
            </w:tcMar>
          </w:tcPr>
          <w:p>
            <w:pPr>
              <w:spacing w:after="0"/>
            </w:pPr>
            <w:r>
              <w:rPr>
                <w:sz w:val="15"/>
              </w:rPr>
              <w:t>POST /predict · consulta individual</w:t>
            </w:r>
          </w:p>
        </w:tc>
        <w:tc>
          <w:tcPr>
            <w:tcW w:type="dxa" w:w="605"/>
            <w:vAlign w:val="center"/>
            <w:tcMar>
              <w:top w:w="90" w:type="dxa"/>
              <w:start w:w="100" w:type="dxa"/>
              <w:bottom w:w="90" w:type="dxa"/>
              <w:end w:w="100" w:type="dxa"/>
            </w:tcMar>
          </w:tcPr>
          <w:p>
            <w:pPr>
              <w:spacing w:after="0"/>
            </w:pPr>
            <w:r>
              <w:rPr>
                <w:sz w:val="15"/>
              </w:rPr>
              <w:t>200</w:t>
            </w:r>
          </w:p>
        </w:tc>
        <w:tc>
          <w:tcPr>
            <w:tcW w:type="dxa" w:w="4464"/>
            <w:vAlign w:val="center"/>
            <w:tcMar>
              <w:top w:w="90" w:type="dxa"/>
              <w:start w:w="100" w:type="dxa"/>
              <w:bottom w:w="90" w:type="dxa"/>
              <w:end w:w="100" w:type="dxa"/>
            </w:tcMar>
          </w:tcPr>
          <w:p>
            <w:pPr>
              <w:spacing w:after="0"/>
            </w:pPr>
            <w:r>
              <w:rPr>
                <w:sz w:val="15"/>
              </w:rPr>
              <w:t>INDIVIDUAL; puntaje 0.2651; umbral 0.276334; REVISION_HUMANA.</w:t>
            </w:r>
          </w:p>
        </w:tc>
        <w:tc>
          <w:tcPr>
            <w:tcW w:type="dxa" w:w="1080"/>
            <w:vAlign w:val="center"/>
            <w:tcMar>
              <w:top w:w="90" w:type="dxa"/>
              <w:start w:w="100" w:type="dxa"/>
              <w:bottom w:w="90" w:type="dxa"/>
              <w:end w:w="100" w:type="dxa"/>
            </w:tcMar>
          </w:tcPr>
          <w:p>
            <w:pPr>
              <w:spacing w:after="0"/>
            </w:pPr>
            <w:r>
              <w:rPr>
                <w:sz w:val="15"/>
              </w:rPr>
              <w:t>Aprobada</w:t>
            </w:r>
          </w:p>
        </w:tc>
      </w:tr>
      <w:tr>
        <w:trPr>
          <w:cantSplit/>
        </w:trPr>
        <w:tc>
          <w:tcPr>
            <w:tcW w:type="dxa" w:w="835"/>
            <w:vAlign w:val="center"/>
            <w:tcMar>
              <w:top w:w="90" w:type="dxa"/>
              <w:start w:w="100" w:type="dxa"/>
              <w:bottom w:w="90" w:type="dxa"/>
              <w:end w:w="100" w:type="dxa"/>
            </w:tcMar>
            <w:shd w:fill="F2F6FA"/>
          </w:tcPr>
          <w:p>
            <w:pPr>
              <w:spacing w:after="0"/>
            </w:pPr>
            <w:r>
              <w:rPr>
                <w:b/>
                <w:sz w:val="15"/>
              </w:rPr>
              <w:t>API-03</w:t>
            </w:r>
          </w:p>
        </w:tc>
        <w:tc>
          <w:tcPr>
            <w:tcW w:type="dxa" w:w="2520"/>
            <w:vAlign w:val="center"/>
            <w:tcMar>
              <w:top w:w="90" w:type="dxa"/>
              <w:start w:w="100" w:type="dxa"/>
              <w:bottom w:w="90" w:type="dxa"/>
              <w:end w:w="100" w:type="dxa"/>
            </w:tcMar>
            <w:shd w:fill="F2F6FA"/>
          </w:tcPr>
          <w:p>
            <w:pPr>
              <w:spacing w:after="0"/>
            </w:pPr>
            <w:r>
              <w:rPr>
                <w:sz w:val="15"/>
              </w:rPr>
              <w:t>POST /predict · paquete de pagos</w:t>
            </w:r>
          </w:p>
        </w:tc>
        <w:tc>
          <w:tcPr>
            <w:tcW w:type="dxa" w:w="605"/>
            <w:vAlign w:val="center"/>
            <w:tcMar>
              <w:top w:w="90" w:type="dxa"/>
              <w:start w:w="100" w:type="dxa"/>
              <w:bottom w:w="90" w:type="dxa"/>
              <w:end w:w="100" w:type="dxa"/>
            </w:tcMar>
            <w:shd w:fill="F2F6FA"/>
          </w:tcPr>
          <w:p>
            <w:pPr>
              <w:spacing w:after="0"/>
            </w:pPr>
            <w:r>
              <w:rPr>
                <w:sz w:val="15"/>
              </w:rPr>
              <w:t>200</w:t>
            </w:r>
          </w:p>
        </w:tc>
        <w:tc>
          <w:tcPr>
            <w:tcW w:type="dxa" w:w="4464"/>
            <w:vAlign w:val="center"/>
            <w:tcMar>
              <w:top w:w="90" w:type="dxa"/>
              <w:start w:w="100" w:type="dxa"/>
              <w:bottom w:w="90" w:type="dxa"/>
              <w:end w:w="100" w:type="dxa"/>
            </w:tcMar>
            <w:shd w:fill="F2F6FA"/>
          </w:tcPr>
          <w:p>
            <w:pPr>
              <w:spacing w:after="0"/>
            </w:pPr>
            <w:r>
              <w:rPr>
                <w:sz w:val="15"/>
              </w:rPr>
              <w:t>PAQUETE; puntaje 0.2357; umbral 0.276334; REVISION_HUMANA.</w:t>
            </w:r>
          </w:p>
        </w:tc>
        <w:tc>
          <w:tcPr>
            <w:tcW w:type="dxa" w:w="1080"/>
            <w:vAlign w:val="center"/>
            <w:tcMar>
              <w:top w:w="90" w:type="dxa"/>
              <w:start w:w="100" w:type="dxa"/>
              <w:bottom w:w="90" w:type="dxa"/>
              <w:end w:w="100" w:type="dxa"/>
            </w:tcMar>
            <w:shd w:fill="F2F6FA"/>
          </w:tcPr>
          <w:p>
            <w:pPr>
              <w:spacing w:after="0"/>
            </w:pPr>
            <w:r>
              <w:rPr>
                <w:sz w:val="15"/>
              </w:rPr>
              <w:t>Aprobada</w:t>
            </w:r>
          </w:p>
        </w:tc>
      </w:tr>
      <w:tr>
        <w:trPr>
          <w:cantSplit/>
        </w:trPr>
        <w:tc>
          <w:tcPr>
            <w:tcW w:type="dxa" w:w="835"/>
            <w:vAlign w:val="center"/>
            <w:tcMar>
              <w:top w:w="90" w:type="dxa"/>
              <w:start w:w="100" w:type="dxa"/>
              <w:bottom w:w="90" w:type="dxa"/>
              <w:end w:w="100" w:type="dxa"/>
            </w:tcMar>
          </w:tcPr>
          <w:p>
            <w:pPr>
              <w:spacing w:after="0"/>
            </w:pPr>
            <w:r>
              <w:rPr>
                <w:b/>
                <w:sz w:val="15"/>
              </w:rPr>
              <w:t>API-04</w:t>
            </w:r>
          </w:p>
        </w:tc>
        <w:tc>
          <w:tcPr>
            <w:tcW w:type="dxa" w:w="2520"/>
            <w:vAlign w:val="center"/>
            <w:tcMar>
              <w:top w:w="90" w:type="dxa"/>
              <w:start w:w="100" w:type="dxa"/>
              <w:bottom w:w="90" w:type="dxa"/>
              <w:end w:w="100" w:type="dxa"/>
            </w:tcMar>
          </w:tcPr>
          <w:p>
            <w:pPr>
              <w:spacing w:after="0"/>
            </w:pPr>
            <w:r>
              <w:rPr>
                <w:sz w:val="15"/>
              </w:rPr>
              <w:t>POST /predict · depósito sin folio</w:t>
            </w:r>
          </w:p>
        </w:tc>
        <w:tc>
          <w:tcPr>
            <w:tcW w:type="dxa" w:w="605"/>
            <w:vAlign w:val="center"/>
            <w:tcMar>
              <w:top w:w="90" w:type="dxa"/>
              <w:start w:w="100" w:type="dxa"/>
              <w:bottom w:w="90" w:type="dxa"/>
              <w:end w:w="100" w:type="dxa"/>
            </w:tcMar>
          </w:tcPr>
          <w:p>
            <w:pPr>
              <w:spacing w:after="0"/>
            </w:pPr>
            <w:r>
              <w:rPr>
                <w:sz w:val="15"/>
              </w:rPr>
              <w:t>200</w:t>
            </w:r>
          </w:p>
        </w:tc>
        <w:tc>
          <w:tcPr>
            <w:tcW w:type="dxa" w:w="4464"/>
            <w:vAlign w:val="center"/>
            <w:tcMar>
              <w:top w:w="90" w:type="dxa"/>
              <w:start w:w="100" w:type="dxa"/>
              <w:bottom w:w="90" w:type="dxa"/>
              <w:end w:w="100" w:type="dxa"/>
            </w:tcMar>
          </w:tcPr>
          <w:p>
            <w:pPr>
              <w:spacing w:after="0"/>
            </w:pPr>
            <w:r>
              <w:rPr>
                <w:sz w:val="15"/>
              </w:rPr>
              <w:t>AMBIGUA; puntaje 0.2344216569; REVISION_HUMANA.</w:t>
            </w:r>
          </w:p>
        </w:tc>
        <w:tc>
          <w:tcPr>
            <w:tcW w:type="dxa" w:w="1080"/>
            <w:vAlign w:val="center"/>
            <w:tcMar>
              <w:top w:w="90" w:type="dxa"/>
              <w:start w:w="100" w:type="dxa"/>
              <w:bottom w:w="90" w:type="dxa"/>
              <w:end w:w="100" w:type="dxa"/>
            </w:tcMar>
          </w:tcPr>
          <w:p>
            <w:pPr>
              <w:spacing w:after="0"/>
            </w:pPr>
            <w:r>
              <w:rPr>
                <w:sz w:val="15"/>
              </w:rPr>
              <w:t>Aprobada</w:t>
            </w:r>
          </w:p>
        </w:tc>
      </w:tr>
      <w:tr>
        <w:trPr>
          <w:cantSplit/>
        </w:trPr>
        <w:tc>
          <w:tcPr>
            <w:tcW w:type="dxa" w:w="835"/>
            <w:vAlign w:val="center"/>
            <w:tcMar>
              <w:top w:w="90" w:type="dxa"/>
              <w:start w:w="100" w:type="dxa"/>
              <w:bottom w:w="90" w:type="dxa"/>
              <w:end w:w="100" w:type="dxa"/>
            </w:tcMar>
            <w:shd w:fill="F2F6FA"/>
          </w:tcPr>
          <w:p>
            <w:pPr>
              <w:spacing w:after="0"/>
            </w:pPr>
            <w:r>
              <w:rPr>
                <w:b/>
                <w:sz w:val="15"/>
              </w:rPr>
              <w:t>API-05</w:t>
            </w:r>
          </w:p>
        </w:tc>
        <w:tc>
          <w:tcPr>
            <w:tcW w:type="dxa" w:w="2520"/>
            <w:vAlign w:val="center"/>
            <w:tcMar>
              <w:top w:w="90" w:type="dxa"/>
              <w:start w:w="100" w:type="dxa"/>
              <w:bottom w:w="90" w:type="dxa"/>
              <w:end w:w="100" w:type="dxa"/>
            </w:tcMar>
            <w:shd w:fill="F2F6FA"/>
          </w:tcPr>
          <w:p>
            <w:pPr>
              <w:spacing w:after="0"/>
            </w:pPr>
            <w:r>
              <w:rPr>
                <w:sz w:val="15"/>
              </w:rPr>
              <w:t>POST /predict · consulta turística</w:t>
            </w:r>
          </w:p>
        </w:tc>
        <w:tc>
          <w:tcPr>
            <w:tcW w:type="dxa" w:w="605"/>
            <w:vAlign w:val="center"/>
            <w:tcMar>
              <w:top w:w="90" w:type="dxa"/>
              <w:start w:w="100" w:type="dxa"/>
              <w:bottom w:w="90" w:type="dxa"/>
              <w:end w:w="100" w:type="dxa"/>
            </w:tcMar>
            <w:shd w:fill="F2F6FA"/>
          </w:tcPr>
          <w:p>
            <w:pPr>
              <w:spacing w:after="0"/>
            </w:pPr>
            <w:r>
              <w:rPr>
                <w:sz w:val="15"/>
              </w:rPr>
              <w:t>200</w:t>
            </w:r>
          </w:p>
        </w:tc>
        <w:tc>
          <w:tcPr>
            <w:tcW w:type="dxa" w:w="4464"/>
            <w:vAlign w:val="center"/>
            <w:tcMar>
              <w:top w:w="90" w:type="dxa"/>
              <w:start w:w="100" w:type="dxa"/>
              <w:bottom w:w="90" w:type="dxa"/>
              <w:end w:w="100" w:type="dxa"/>
            </w:tcMar>
            <w:shd w:fill="F2F6FA"/>
          </w:tcPr>
          <w:p>
            <w:pPr>
              <w:spacing w:after="0"/>
            </w:pPr>
            <w:r>
              <w:rPr>
                <w:sz w:val="15"/>
              </w:rPr>
              <w:t>AMBIGUA (se esperaba FUERA_ALCANCE); puntaje 0.2445779859; REVISION_HUMANA.</w:t>
            </w:r>
          </w:p>
        </w:tc>
        <w:tc>
          <w:tcPr>
            <w:tcW w:type="dxa" w:w="1080"/>
            <w:vAlign w:val="center"/>
            <w:tcMar>
              <w:top w:w="90" w:type="dxa"/>
              <w:start w:w="100" w:type="dxa"/>
              <w:bottom w:w="90" w:type="dxa"/>
              <w:end w:w="100" w:type="dxa"/>
            </w:tcMar>
            <w:shd w:fill="F2F6FA"/>
          </w:tcPr>
          <w:p>
            <w:pPr>
              <w:spacing w:after="0"/>
            </w:pPr>
            <w:r>
              <w:rPr>
                <w:sz w:val="15"/>
              </w:rPr>
              <w:t>Observación</w:t>
            </w:r>
          </w:p>
        </w:tc>
      </w:tr>
      <w:tr>
        <w:trPr>
          <w:cantSplit/>
        </w:trPr>
        <w:tc>
          <w:tcPr>
            <w:tcW w:type="dxa" w:w="835"/>
            <w:vAlign w:val="center"/>
            <w:tcMar>
              <w:top w:w="90" w:type="dxa"/>
              <w:start w:w="100" w:type="dxa"/>
              <w:bottom w:w="90" w:type="dxa"/>
              <w:end w:w="100" w:type="dxa"/>
            </w:tcMar>
          </w:tcPr>
          <w:p>
            <w:pPr>
              <w:spacing w:after="0"/>
            </w:pPr>
            <w:r>
              <w:rPr>
                <w:b/>
                <w:sz w:val="15"/>
              </w:rPr>
              <w:t>API-06</w:t>
            </w:r>
          </w:p>
        </w:tc>
        <w:tc>
          <w:tcPr>
            <w:tcW w:type="dxa" w:w="2520"/>
            <w:vAlign w:val="center"/>
            <w:tcMar>
              <w:top w:w="90" w:type="dxa"/>
              <w:start w:w="100" w:type="dxa"/>
              <w:bottom w:w="90" w:type="dxa"/>
              <w:end w:w="100" w:type="dxa"/>
            </w:tcMar>
          </w:tcPr>
          <w:p>
            <w:pPr>
              <w:spacing w:after="0"/>
            </w:pPr>
            <w:r>
              <w:rPr>
                <w:sz w:val="15"/>
              </w:rPr>
              <w:t>POST /predict · texto vacío</w:t>
            </w:r>
          </w:p>
        </w:tc>
        <w:tc>
          <w:tcPr>
            <w:tcW w:type="dxa" w:w="605"/>
            <w:vAlign w:val="center"/>
            <w:tcMar>
              <w:top w:w="90" w:type="dxa"/>
              <w:start w:w="100" w:type="dxa"/>
              <w:bottom w:w="90" w:type="dxa"/>
              <w:end w:w="100" w:type="dxa"/>
            </w:tcMar>
          </w:tcPr>
          <w:p>
            <w:pPr>
              <w:spacing w:after="0"/>
            </w:pPr>
            <w:r>
              <w:rPr>
                <w:sz w:val="15"/>
              </w:rPr>
              <w:t>422</w:t>
            </w:r>
          </w:p>
        </w:tc>
        <w:tc>
          <w:tcPr>
            <w:tcW w:type="dxa" w:w="4464"/>
            <w:vAlign w:val="center"/>
            <w:tcMar>
              <w:top w:w="90" w:type="dxa"/>
              <w:start w:w="100" w:type="dxa"/>
              <w:bottom w:w="90" w:type="dxa"/>
              <w:end w:w="100" w:type="dxa"/>
            </w:tcMar>
          </w:tcPr>
          <w:p>
            <w:pPr>
              <w:spacing w:after="0"/>
            </w:pPr>
            <w:r>
              <w:rPr>
                <w:sz w:val="15"/>
              </w:rPr>
              <w:t>string_too_short; longitud mínima 1 carácter.</w:t>
            </w:r>
          </w:p>
        </w:tc>
        <w:tc>
          <w:tcPr>
            <w:tcW w:type="dxa" w:w="1080"/>
            <w:vAlign w:val="center"/>
            <w:tcMar>
              <w:top w:w="90" w:type="dxa"/>
              <w:start w:w="100" w:type="dxa"/>
              <w:bottom w:w="90" w:type="dxa"/>
              <w:end w:w="100" w:type="dxa"/>
            </w:tcMar>
          </w:tcPr>
          <w:p>
            <w:pPr>
              <w:spacing w:after="0"/>
            </w:pPr>
            <w:r>
              <w:rPr>
                <w:sz w:val="15"/>
              </w:rPr>
              <w:t>Aprobada</w:t>
            </w:r>
          </w:p>
        </w:tc>
      </w:tr>
      <w:tr>
        <w:trPr>
          <w:cantSplit/>
        </w:trPr>
        <w:tc>
          <w:tcPr>
            <w:tcW w:type="dxa" w:w="835"/>
            <w:vAlign w:val="center"/>
            <w:tcMar>
              <w:top w:w="90" w:type="dxa"/>
              <w:start w:w="100" w:type="dxa"/>
              <w:bottom w:w="90" w:type="dxa"/>
              <w:end w:w="100" w:type="dxa"/>
            </w:tcMar>
            <w:shd w:fill="F2F6FA"/>
          </w:tcPr>
          <w:p>
            <w:pPr>
              <w:spacing w:after="0"/>
            </w:pPr>
            <w:r>
              <w:rPr>
                <w:b/>
                <w:sz w:val="15"/>
              </w:rPr>
              <w:t>API-07</w:t>
            </w:r>
          </w:p>
        </w:tc>
        <w:tc>
          <w:tcPr>
            <w:tcW w:type="dxa" w:w="2520"/>
            <w:vAlign w:val="center"/>
            <w:tcMar>
              <w:top w:w="90" w:type="dxa"/>
              <w:start w:w="100" w:type="dxa"/>
              <w:bottom w:w="90" w:type="dxa"/>
              <w:end w:w="100" w:type="dxa"/>
            </w:tcMar>
            <w:shd w:fill="F2F6FA"/>
          </w:tcPr>
          <w:p>
            <w:pPr>
              <w:spacing w:after="0"/>
            </w:pPr>
            <w:r>
              <w:rPr>
                <w:sz w:val="15"/>
              </w:rPr>
              <w:t>POST /predict · campo texto ausente</w:t>
            </w:r>
          </w:p>
        </w:tc>
        <w:tc>
          <w:tcPr>
            <w:tcW w:type="dxa" w:w="605"/>
            <w:vAlign w:val="center"/>
            <w:tcMar>
              <w:top w:w="90" w:type="dxa"/>
              <w:start w:w="100" w:type="dxa"/>
              <w:bottom w:w="90" w:type="dxa"/>
              <w:end w:w="100" w:type="dxa"/>
            </w:tcMar>
            <w:shd w:fill="F2F6FA"/>
          </w:tcPr>
          <w:p>
            <w:pPr>
              <w:spacing w:after="0"/>
            </w:pPr>
            <w:r>
              <w:rPr>
                <w:sz w:val="15"/>
              </w:rPr>
              <w:t>422</w:t>
            </w:r>
          </w:p>
        </w:tc>
        <w:tc>
          <w:tcPr>
            <w:tcW w:type="dxa" w:w="4464"/>
            <w:vAlign w:val="center"/>
            <w:tcMar>
              <w:top w:w="90" w:type="dxa"/>
              <w:start w:w="100" w:type="dxa"/>
              <w:bottom w:w="90" w:type="dxa"/>
              <w:end w:w="100" w:type="dxa"/>
            </w:tcMar>
            <w:shd w:fill="F2F6FA"/>
          </w:tcPr>
          <w:p>
            <w:pPr>
              <w:spacing w:after="0"/>
            </w:pPr>
            <w:r>
              <w:rPr>
                <w:sz w:val="15"/>
              </w:rPr>
              <w:t>missing; ubicación body.texto; Field required.</w:t>
            </w:r>
          </w:p>
        </w:tc>
        <w:tc>
          <w:tcPr>
            <w:tcW w:type="dxa" w:w="1080"/>
            <w:vAlign w:val="center"/>
            <w:tcMar>
              <w:top w:w="90" w:type="dxa"/>
              <w:start w:w="100" w:type="dxa"/>
              <w:bottom w:w="90" w:type="dxa"/>
              <w:end w:w="100" w:type="dxa"/>
            </w:tcMar>
            <w:shd w:fill="F2F6FA"/>
          </w:tcPr>
          <w:p>
            <w:pPr>
              <w:spacing w:after="0"/>
            </w:pPr>
            <w:r>
              <w:rPr>
                <w:sz w:val="15"/>
              </w:rPr>
              <w:t>Aprobada</w:t>
            </w:r>
          </w:p>
        </w:tc>
      </w:tr>
      <w:tr>
        <w:trPr>
          <w:cantSplit/>
        </w:trPr>
        <w:tc>
          <w:tcPr>
            <w:tcW w:type="dxa" w:w="835"/>
            <w:vAlign w:val="center"/>
            <w:tcMar>
              <w:top w:w="90" w:type="dxa"/>
              <w:start w:w="100" w:type="dxa"/>
              <w:bottom w:w="90" w:type="dxa"/>
              <w:end w:w="100" w:type="dxa"/>
            </w:tcMar>
          </w:tcPr>
          <w:p>
            <w:pPr>
              <w:spacing w:after="0"/>
            </w:pPr>
            <w:r>
              <w:rPr>
                <w:b/>
                <w:sz w:val="15"/>
              </w:rPr>
              <w:t>API-08</w:t>
            </w:r>
          </w:p>
        </w:tc>
        <w:tc>
          <w:tcPr>
            <w:tcW w:type="dxa" w:w="2520"/>
            <w:vAlign w:val="center"/>
            <w:tcMar>
              <w:top w:w="90" w:type="dxa"/>
              <w:start w:w="100" w:type="dxa"/>
              <w:bottom w:w="90" w:type="dxa"/>
              <w:end w:w="100" w:type="dxa"/>
            </w:tcMar>
          </w:tcPr>
          <w:p>
            <w:pPr>
              <w:spacing w:after="0"/>
            </w:pPr>
            <w:r>
              <w:rPr>
                <w:sz w:val="15"/>
              </w:rPr>
              <w:t>POST /predict · texto de 5,001 caracteres</w:t>
            </w:r>
          </w:p>
        </w:tc>
        <w:tc>
          <w:tcPr>
            <w:tcW w:type="dxa" w:w="605"/>
            <w:vAlign w:val="center"/>
            <w:tcMar>
              <w:top w:w="90" w:type="dxa"/>
              <w:start w:w="100" w:type="dxa"/>
              <w:bottom w:w="90" w:type="dxa"/>
              <w:end w:w="100" w:type="dxa"/>
            </w:tcMar>
          </w:tcPr>
          <w:p>
            <w:pPr>
              <w:spacing w:after="0"/>
            </w:pPr>
            <w:r>
              <w:rPr>
                <w:sz w:val="15"/>
              </w:rPr>
              <w:t>422</w:t>
            </w:r>
          </w:p>
        </w:tc>
        <w:tc>
          <w:tcPr>
            <w:tcW w:type="dxa" w:w="4464"/>
            <w:vAlign w:val="center"/>
            <w:tcMar>
              <w:top w:w="90" w:type="dxa"/>
              <w:start w:w="100" w:type="dxa"/>
              <w:bottom w:w="90" w:type="dxa"/>
              <w:end w:w="100" w:type="dxa"/>
            </w:tcMar>
          </w:tcPr>
          <w:p>
            <w:pPr>
              <w:spacing w:after="0"/>
            </w:pPr>
            <w:r>
              <w:rPr>
                <w:sz w:val="15"/>
              </w:rPr>
              <w:t>string_too_long; máximo permitido 5,000 caracteres.</w:t>
            </w:r>
          </w:p>
        </w:tc>
        <w:tc>
          <w:tcPr>
            <w:tcW w:type="dxa" w:w="1080"/>
            <w:vAlign w:val="center"/>
            <w:tcMar>
              <w:top w:w="90" w:type="dxa"/>
              <w:start w:w="100" w:type="dxa"/>
              <w:bottom w:w="90" w:type="dxa"/>
              <w:end w:w="100" w:type="dxa"/>
            </w:tcMar>
          </w:tcPr>
          <w:p>
            <w:pPr>
              <w:spacing w:after="0"/>
            </w:pPr>
            <w:r>
              <w:rPr>
                <w:sz w:val="15"/>
              </w:rPr>
              <w:t>Aprobada</w:t>
            </w:r>
          </w:p>
        </w:tc>
      </w:tr>
    </w:tbl>
    <w:p>
      <w:pPr>
        <w:spacing w:after="20"/>
      </w:pPr>
    </w:p>
    <w:p>
      <w:r>
        <w:t>Las respuestas HTTP 422 de API-06, API-07 y API-08 son resultados esperados: acreditan que las validaciones de entrada se ejecutan antes de solicitar una predicción al modelo. API-05 devolvió una clasificación AMBIGUA en lugar de FUERA_ALCANCE; aunque la clasificación no coincidió con la intención, el sistema aplicó la revisión humana.</w:t>
      </w:r>
    </w:p>
    <w:p>
      <w:pPr>
        <w:pStyle w:val="Heading1"/>
      </w:pPr>
      <w:r>
        <w:t>8. Evaluación de la política de enrutamiento</w:t>
      </w:r>
    </w:p>
    <w:p>
      <w:r>
        <w:t>La versión desplegada comunica la puntuación de la clase INDIVIDUAL y el umbral 0.276334. En todas las pruebas funcionales de clasificación documentadas, el puntaje fue inferior al umbral y la decisión fue REVISION_HUMANA. No se obtuvo en esta batería un caso observado de aceptación automática por superar el umbral; por tanto, la ruta de aceptación automática no queda acreditada por estas evidencias.</w:t>
      </w:r>
    </w:p>
    <w:tbl>
      <w:tblPr>
        <w:tblW w:type="auto" w:w="0"/>
        <w:jc w:val="center"/>
        <w:tblLook w:firstColumn="1" w:firstRow="1" w:lastColumn="0" w:lastRow="0" w:noHBand="0" w:noVBand="1" w:val="04A0"/>
      </w:tblPr>
      <w:tblGrid>
        <w:gridCol w:w="10080"/>
      </w:tblGrid>
      <w:tr>
        <w:tc>
          <w:tcPr>
            <w:tcW w:type="dxa" w:w="10080"/>
            <w:shd w:fill="EAF2F8"/>
            <w:tcMar>
              <w:top w:w="160" w:type="dxa"/>
              <w:start w:w="200" w:type="dxa"/>
              <w:bottom w:w="160" w:type="dxa"/>
              <w:end w:w="200" w:type="dxa"/>
            </w:tcMar>
          </w:tcPr>
          <w:p>
            <w:r>
              <w:rPr>
                <w:b/>
                <w:color w:val="1769AA"/>
              </w:rPr>
              <w:t xml:space="preserve">Interpretación correcta  </w:t>
            </w:r>
            <w:r>
              <w:t>Un puntaje inferior al umbral explica la derivación a revisión humana, pero no debe interpretarse como probabilidad calibrada ni como certeza sobre la clase predicha. La clasificación del modelo y la decisión operativa son campos distintos.</w:t>
            </w:r>
          </w:p>
        </w:tc>
      </w:tr>
    </w:tbl>
    <w:p>
      <w:pPr>
        <w:spacing w:after="20"/>
      </w:pPr>
    </w:p>
    <w:p>
      <w:pPr>
        <w:pStyle w:val="Heading1"/>
      </w:pPr>
      <w:r>
        <w:t>9. Hallazgos, limitaciones y acciones recomendadas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60"/>
            <w:shd w:fill="12365A"/>
            <w:tcMar>
              <w:top w:w="100" w:type="dxa"/>
              <w:start w:w="100" w:type="dxa"/>
              <w:bottom w:w="100" w:type="dxa"/>
              <w:end w:w="100" w:type="dxa"/>
            </w:tcMar>
            <w:vAlign w:val="center"/>
          </w:tcPr>
          <w:p>
            <w:r>
              <w:rPr>
                <w:b/>
                <w:color w:val="FFFFFF"/>
                <w:sz w:val="17"/>
              </w:rPr>
              <w:t>Hallazgo</w:t>
            </w:r>
          </w:p>
        </w:tc>
        <w:tc>
          <w:tcPr>
            <w:tcW w:type="dxa" w:w="3360"/>
            <w:shd w:fill="12365A"/>
            <w:tcMar>
              <w:top w:w="100" w:type="dxa"/>
              <w:start w:w="100" w:type="dxa"/>
              <w:bottom w:w="100" w:type="dxa"/>
              <w:end w:w="100" w:type="dxa"/>
            </w:tcMar>
            <w:vAlign w:val="center"/>
          </w:tcPr>
          <w:p>
            <w:r>
              <w:rPr>
                <w:b/>
                <w:color w:val="FFFFFF"/>
                <w:sz w:val="17"/>
              </w:rPr>
              <w:t>Implicación</w:t>
            </w:r>
          </w:p>
        </w:tc>
        <w:tc>
          <w:tcPr>
            <w:tcW w:type="dxa" w:w="3360"/>
            <w:shd w:fill="12365A"/>
            <w:tcMar>
              <w:top w:w="100" w:type="dxa"/>
              <w:start w:w="100" w:type="dxa"/>
              <w:bottom w:w="100" w:type="dxa"/>
              <w:end w:w="100" w:type="dxa"/>
            </w:tcMar>
            <w:vAlign w:val="center"/>
          </w:tcPr>
          <w:p>
            <w:r>
              <w:rPr>
                <w:b/>
                <w:color w:val="FFFFFF"/>
                <w:sz w:val="17"/>
              </w:rPr>
              <w:t>Acción recomendada</w:t>
            </w:r>
          </w:p>
        </w:tc>
      </w:tr>
      <w:tr>
        <w:trPr>
          <w:cantSplit/>
        </w:trPr>
        <w:tc>
          <w:tcPr>
            <w:tcW w:type="dxa" w:w="3360"/>
            <w:vAlign w:val="center"/>
            <w:tcMar>
              <w:top w:w="90" w:type="dxa"/>
              <w:start w:w="100" w:type="dxa"/>
              <w:bottom w:w="90" w:type="dxa"/>
              <w:end w:w="100" w:type="dxa"/>
            </w:tcMar>
            <w:shd w:fill="F2F6FA"/>
          </w:tcPr>
          <w:p>
            <w:pPr>
              <w:spacing w:after="0"/>
            </w:pPr>
            <w:r>
              <w:rPr>
                <w:b/>
                <w:sz w:val="17"/>
              </w:rPr>
              <w:t>WEB-02: consulta individual clasificada AMBIGUA.</w:t>
            </w:r>
          </w:p>
        </w:tc>
        <w:tc>
          <w:tcPr>
            <w:tcW w:type="dxa" w:w="3360"/>
            <w:vAlign w:val="center"/>
            <w:tcMar>
              <w:top w:w="90" w:type="dxa"/>
              <w:start w:w="100" w:type="dxa"/>
              <w:bottom w:w="90" w:type="dxa"/>
              <w:end w:w="100" w:type="dxa"/>
            </w:tcMar>
            <w:shd w:fill="F2F6FA"/>
          </w:tcPr>
          <w:p>
            <w:pPr>
              <w:spacing w:after="0"/>
            </w:pPr>
            <w:r>
              <w:rPr>
                <w:sz w:val="17"/>
              </w:rPr>
              <w:t>El lenguaje/contexto de una solicitud individual puede no corresponder a los patrones aprendidos.</w:t>
            </w:r>
          </w:p>
        </w:tc>
        <w:tc>
          <w:tcPr>
            <w:tcW w:type="dxa" w:w="3360"/>
            <w:vAlign w:val="center"/>
            <w:tcMar>
              <w:top w:w="90" w:type="dxa"/>
              <w:start w:w="100" w:type="dxa"/>
              <w:bottom w:w="90" w:type="dxa"/>
              <w:end w:w="100" w:type="dxa"/>
            </w:tcMar>
            <w:shd w:fill="F2F6FA"/>
          </w:tcPr>
          <w:p>
            <w:pPr>
              <w:spacing w:after="0"/>
            </w:pPr>
            <w:r>
              <w:rPr>
                <w:sz w:val="17"/>
              </w:rPr>
              <w:t>Ampliar ejemplos independientes y variados de INDIVIDUAL y AMBIGUA; evaluar por clase.</w:t>
            </w:r>
          </w:p>
        </w:tc>
      </w:tr>
      <w:tr>
        <w:trPr>
          <w:cantSplit/>
        </w:trPr>
        <w:tc>
          <w:tcPr>
            <w:tcW w:type="dxa" w:w="3360"/>
            <w:vAlign w:val="center"/>
            <w:tcMar>
              <w:top w:w="90" w:type="dxa"/>
              <w:start w:w="100" w:type="dxa"/>
              <w:bottom w:w="90" w:type="dxa"/>
              <w:end w:w="100" w:type="dxa"/>
            </w:tcMar>
          </w:tcPr>
          <w:p>
            <w:pPr>
              <w:spacing w:after="0"/>
            </w:pPr>
            <w:r>
              <w:rPr>
                <w:b/>
                <w:sz w:val="17"/>
              </w:rPr>
              <w:t>WEB-03: solicitud de paquete clasificada FUERA_ALCANCE.</w:t>
            </w:r>
          </w:p>
        </w:tc>
        <w:tc>
          <w:tcPr>
            <w:tcW w:type="dxa" w:w="3360"/>
            <w:vAlign w:val="center"/>
            <w:tcMar>
              <w:top w:w="90" w:type="dxa"/>
              <w:start w:w="100" w:type="dxa"/>
              <w:bottom w:w="90" w:type="dxa"/>
              <w:end w:w="100" w:type="dxa"/>
            </w:tcMar>
          </w:tcPr>
          <w:p>
            <w:pPr>
              <w:spacing w:after="0"/>
            </w:pPr>
            <w:r>
              <w:rPr>
                <w:sz w:val="17"/>
              </w:rPr>
              <w:t>Se observa confusión entre PAQUETE y FUERA_ALCANCE.</w:t>
            </w:r>
          </w:p>
        </w:tc>
        <w:tc>
          <w:tcPr>
            <w:tcW w:type="dxa" w:w="3360"/>
            <w:vAlign w:val="center"/>
            <w:tcMar>
              <w:top w:w="90" w:type="dxa"/>
              <w:start w:w="100" w:type="dxa"/>
              <w:bottom w:w="90" w:type="dxa"/>
              <w:end w:w="100" w:type="dxa"/>
            </w:tcMar>
          </w:tcPr>
          <w:p>
            <w:pPr>
              <w:spacing w:after="0"/>
            </w:pPr>
            <w:r>
              <w:rPr>
                <w:sz w:val="17"/>
              </w:rPr>
              <w:t>Incorporar casos de paquetes con diferentes redacciones, volúmenes y referencias.</w:t>
            </w:r>
          </w:p>
        </w:tc>
      </w:tr>
      <w:tr>
        <w:trPr>
          <w:cantSplit/>
        </w:trPr>
        <w:tc>
          <w:tcPr>
            <w:tcW w:type="dxa" w:w="3360"/>
            <w:vAlign w:val="center"/>
            <w:tcMar>
              <w:top w:w="90" w:type="dxa"/>
              <w:start w:w="100" w:type="dxa"/>
              <w:bottom w:w="90" w:type="dxa"/>
              <w:end w:w="100" w:type="dxa"/>
            </w:tcMar>
            <w:shd w:fill="F2F6FA"/>
          </w:tcPr>
          <w:p>
            <w:pPr>
              <w:spacing w:after="0"/>
            </w:pPr>
            <w:r>
              <w:rPr>
                <w:b/>
                <w:sz w:val="17"/>
              </w:rPr>
              <w:t>API-05: consulta turística clasificada AMBIGUA.</w:t>
            </w:r>
          </w:p>
        </w:tc>
        <w:tc>
          <w:tcPr>
            <w:tcW w:type="dxa" w:w="3360"/>
            <w:vAlign w:val="center"/>
            <w:tcMar>
              <w:top w:w="90" w:type="dxa"/>
              <w:start w:w="100" w:type="dxa"/>
              <w:bottom w:w="90" w:type="dxa"/>
              <w:end w:w="100" w:type="dxa"/>
            </w:tcMar>
            <w:shd w:fill="F2F6FA"/>
          </w:tcPr>
          <w:p>
            <w:pPr>
              <w:spacing w:after="0"/>
            </w:pPr>
            <w:r>
              <w:rPr>
                <w:sz w:val="17"/>
              </w:rPr>
              <w:t>El modelo no separa con robustez todo contenido claramente ajeno al dominio.</w:t>
            </w:r>
          </w:p>
        </w:tc>
        <w:tc>
          <w:tcPr>
            <w:tcW w:type="dxa" w:w="3360"/>
            <w:vAlign w:val="center"/>
            <w:tcMar>
              <w:top w:w="90" w:type="dxa"/>
              <w:start w:w="100" w:type="dxa"/>
              <w:bottom w:w="90" w:type="dxa"/>
              <w:end w:w="100" w:type="dxa"/>
            </w:tcMar>
            <w:shd w:fill="F2F6FA"/>
          </w:tcPr>
          <w:p>
            <w:pPr>
              <w:spacing w:after="0"/>
            </w:pPr>
            <w:r>
              <w:rPr>
                <w:sz w:val="17"/>
              </w:rPr>
              <w:t>Ampliar ejemplos FUERA_ALCANCE y probar reglas deterministas de dominio antes/después del modelo.</w:t>
            </w:r>
          </w:p>
        </w:tc>
      </w:tr>
      <w:tr>
        <w:trPr>
          <w:cantSplit/>
        </w:trPr>
        <w:tc>
          <w:tcPr>
            <w:tcW w:type="dxa" w:w="3360"/>
            <w:vAlign w:val="center"/>
            <w:tcMar>
              <w:top w:w="90" w:type="dxa"/>
              <w:start w:w="100" w:type="dxa"/>
              <w:bottom w:w="90" w:type="dxa"/>
              <w:end w:w="100" w:type="dxa"/>
            </w:tcMar>
          </w:tcPr>
          <w:p>
            <w:pPr>
              <w:spacing w:after="0"/>
            </w:pPr>
            <w:r>
              <w:rPr>
                <w:b/>
                <w:sz w:val="17"/>
              </w:rPr>
              <w:t>Sin caso de aceptación automática observado.</w:t>
            </w:r>
          </w:p>
        </w:tc>
        <w:tc>
          <w:tcPr>
            <w:tcW w:type="dxa" w:w="3360"/>
            <w:vAlign w:val="center"/>
            <w:tcMar>
              <w:top w:w="90" w:type="dxa"/>
              <w:start w:w="100" w:type="dxa"/>
              <w:bottom w:w="90" w:type="dxa"/>
              <w:end w:w="100" w:type="dxa"/>
            </w:tcMar>
          </w:tcPr>
          <w:p>
            <w:pPr>
              <w:spacing w:after="0"/>
            </w:pPr>
            <w:r>
              <w:rPr>
                <w:sz w:val="17"/>
              </w:rPr>
              <w:t>La cobertura de aceptación de la política no fue demostrada en esta batería.</w:t>
            </w:r>
          </w:p>
        </w:tc>
        <w:tc>
          <w:tcPr>
            <w:tcW w:type="dxa" w:w="3360"/>
            <w:vAlign w:val="center"/>
            <w:tcMar>
              <w:top w:w="90" w:type="dxa"/>
              <w:start w:w="100" w:type="dxa"/>
              <w:bottom w:w="90" w:type="dxa"/>
              <w:end w:w="100" w:type="dxa"/>
            </w:tcMar>
          </w:tcPr>
          <w:p>
            <w:pPr>
              <w:spacing w:after="0"/>
            </w:pPr>
            <w:r>
              <w:rPr>
                <w:sz w:val="17"/>
              </w:rPr>
              <w:t>Diseñar un conjunto de prueba sintético representativo con puntajes sobre el umbral; registrar resultado real sin forzar el modelo.</w:t>
            </w:r>
          </w:p>
        </w:tc>
      </w:tr>
      <w:tr>
        <w:trPr>
          <w:cantSplit/>
        </w:trPr>
        <w:tc>
          <w:tcPr>
            <w:tcW w:type="dxa" w:w="3360"/>
            <w:vAlign w:val="center"/>
            <w:tcMar>
              <w:top w:w="90" w:type="dxa"/>
              <w:start w:w="100" w:type="dxa"/>
              <w:bottom w:w="90" w:type="dxa"/>
              <w:end w:w="100" w:type="dxa"/>
            </w:tcMar>
            <w:shd w:fill="F2F6FA"/>
          </w:tcPr>
          <w:p>
            <w:pPr>
              <w:spacing w:after="0"/>
            </w:pPr>
            <w:r>
              <w:rPr>
                <w:b/>
                <w:sz w:val="17"/>
              </w:rPr>
              <w:t>Datos sintéticos y evidencia funcional limitada.</w:t>
            </w:r>
          </w:p>
        </w:tc>
        <w:tc>
          <w:tcPr>
            <w:tcW w:type="dxa" w:w="3360"/>
            <w:vAlign w:val="center"/>
            <w:tcMar>
              <w:top w:w="90" w:type="dxa"/>
              <w:start w:w="100" w:type="dxa"/>
              <w:bottom w:w="90" w:type="dxa"/>
              <w:end w:w="100" w:type="dxa"/>
            </w:tcMar>
            <w:shd w:fill="F2F6FA"/>
          </w:tcPr>
          <w:p>
            <w:pPr>
              <w:spacing w:after="0"/>
            </w:pPr>
            <w:r>
              <w:rPr>
                <w:sz w:val="17"/>
              </w:rPr>
              <w:t>No permiten afirmar desempeño en producción ni generalización robusta.</w:t>
            </w:r>
          </w:p>
        </w:tc>
        <w:tc>
          <w:tcPr>
            <w:tcW w:type="dxa" w:w="3360"/>
            <w:vAlign w:val="center"/>
            <w:tcMar>
              <w:top w:w="90" w:type="dxa"/>
              <w:start w:w="100" w:type="dxa"/>
              <w:bottom w:w="90" w:type="dxa"/>
              <w:end w:w="100" w:type="dxa"/>
            </w:tcMar>
            <w:shd w:fill="F2F6FA"/>
          </w:tcPr>
          <w:p>
            <w:pPr>
              <w:spacing w:after="0"/>
            </w:pPr>
            <w:r>
              <w:rPr>
                <w:sz w:val="17"/>
              </w:rPr>
              <w:t>Ampliar dataset independiente, especialmente AMBIGUA y FUERA_ALCANCE; evitar duplicados y fugas.</w:t>
            </w:r>
          </w:p>
        </w:tc>
      </w:tr>
    </w:tbl>
    <w:p>
      <w:pPr>
        <w:spacing w:after="20"/>
      </w:pPr>
    </w:p>
    <w:p>
      <w:r>
        <w:t>La retroalimentación metodológica previa se mantiene vigente: la comparación de modelos debe incluir pruebas estadísticas emparejadas cuando corresponda (por ejemplo, McNemar), los experimentos de búsqueda deben quedar trazados en MLflow y los datos deben ser suficientemente diversos. Esas actividades pertenecen a la evaluación y evolución del modelo; no se sustituyen por las pruebas de despliegue descritas aquí.</w:t>
      </w:r>
    </w:p>
    <w:p>
      <w:pPr>
        <w:pStyle w:val="Heading1"/>
      </w:pPr>
      <w:r>
        <w:t>10. Conclusión</w:t>
      </w:r>
    </w:p>
    <w:p>
      <w:r>
        <w:t>La Fase II acredita la integración y publicación de CHATBOT CIMA en un servicio web en la nube. GitHub Actions ejecutó correctamente las pruebas y la construcción Docker; Render construyó y ejecutó el contenedor, cargó el artefacto de Regresión Logística y mantuvo disponible el endpoint de salud. La interfaz y la API procesaron consultas sintéticas y los controles de validación rechazaron correctamente entradas inválidas.</w:t>
      </w:r>
    </w:p>
    <w:p>
      <w:r>
        <w:t>La validación también identificó límites de clasificación en consultas individuales, de paquetes y fuera de alcance. La derivación a revisión humana mitigó la posibilidad de aceptación automática en los casos observados, pero no elimina la necesidad de mejorar el dataset y evaluar el modelo con una muestra más amplia e independiente. El prototipo es académico e informativo: no autoriza pagos, no confirma transacciones y no sustituye validaciones deterministas ni intervención humana.</w:t>
      </w:r>
    </w:p>
    <w:p>
      <w:pPr>
        <w:pStyle w:val="Heading1"/>
      </w:pPr>
      <w:r>
        <w:t>Anexo A. Recursos y evidencias</w:t>
      </w:r>
    </w:p>
    <w:p>
      <w:r>
        <w:rPr>
          <w:b/>
        </w:rPr>
        <w:t xml:space="preserve">Aplicación desplegada: </w:t>
      </w:r>
      <w:hyperlink r:id="rId11">
        <w:r>
          <w:rPr>
            <w:color w:val="1769AA"/>
            <w:u w:val="single"/>
          </w:rPr>
          <w:t>https://chatbot-cima-fase2.onrender.com/</w:t>
        </w:r>
      </w:hyperlink>
    </w:p>
    <w:p>
      <w:r>
        <w:rPr>
          <w:b/>
        </w:rPr>
        <w:t xml:space="preserve">Swagger UI: </w:t>
      </w:r>
      <w:hyperlink r:id="rId15">
        <w:r>
          <w:rPr>
            <w:color w:val="1769AA"/>
            <w:u w:val="single"/>
          </w:rPr>
          <w:t>https://chatbot-cima-fase2.onrender.com/docs</w:t>
        </w:r>
      </w:hyperlink>
    </w:p>
    <w:p>
      <w:r>
        <w:rPr>
          <w:b/>
        </w:rPr>
        <w:t xml:space="preserve">Health Check: </w:t>
      </w:r>
      <w:hyperlink r:id="rId16">
        <w:r>
          <w:rPr>
            <w:color w:val="1769AA"/>
            <w:u w:val="single"/>
          </w:rPr>
          <w:t>https://chatbot-cima-fase2.onrender.com/health</w:t>
        </w:r>
      </w:hyperlink>
    </w:p>
    <w:p>
      <w:r>
        <w:rPr>
          <w:b/>
        </w:rPr>
        <w:t xml:space="preserve">Repositorio GitHub: </w:t>
      </w:r>
      <w:hyperlink r:id="rId12">
        <w:r>
          <w:rPr>
            <w:color w:val="1769AA"/>
            <w:u w:val="single"/>
          </w:rPr>
          <w:t>https://github.com/alfredosalazar-ai/deep-learning-experiments</w:t>
        </w:r>
      </w:hyperlink>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Proyecto académico · Implementación en la nube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69AA"/>
        <w:sz w:val="16"/>
      </w:rPr>
      <w:t>CHATBOT CIMA  |  FASE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65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8B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6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tbot-cima-fase2.onrender.com/" TargetMode="External"/><Relationship Id="rId12" Type="http://schemas.openxmlformats.org/officeDocument/2006/relationships/hyperlink" Target="https://github.com/alfredosalazar-ai/deep-learning-experiments"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chatbot-cima-fase2.onrender.com/docs" TargetMode="External"/><Relationship Id="rId16" Type="http://schemas.openxmlformats.org/officeDocument/2006/relationships/hyperlink" Target="https://chatbot-cima-fase2.onrender.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