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spacing w:before="280"/>
        <w:bidi w:val="1"/>
      </w:pPr>
      <w:r>
        <w:rPr>
          <w:rFonts w:ascii="Vazirmatn" w:hAnsi="Vazirmatn"/>
          <w:b/>
          <w:color w:val="0F2744"/>
          <w:sz w:val="29"/>
        </w:rPr>
        <w:t>🔹 ۴. Etiology &amp; Risk Factors (اسباب و فکتورهای خطر)</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الکهول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وزش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وزش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وزش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وزش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(ACC/AHA 2017؛ بسیاری منابع «در ۲۰ دقیقه» می‌گویند)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از طریق StatPearls):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هر ۳–۵ دقیقه ۵ mcg/min زیاد کن تا ۲۰ mcg/min (در صورت نیاز بیشتر)</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و Thiocyanate (به ویژه در عدم کفایهٔ گرده/کبد)؛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عارضهٔ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(الکهول):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Table 19 (IV drugs for hypertensive emergency), via StatPearls "Hypertensive Emergency" (NBK507701) table; doses checked 2026-09.</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وزش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(الکهولی،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(الکهولی،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۲۵–۵۰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سرفه ساخت</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ریتم سینوسی و ضربان ۷۰ یا بیشتر، با وجود Beta-blocker</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الکهول: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 ۱۵۰ → CRT.</w:t>
      </w:r>
      <w:r>
        <w:rPr>
          <w:rFonts w:ascii="Vazirmatn" w:hAnsi="Vazirmatn"/>
        </w:rPr>
        <w:t xml:space="preserve"> </w:t>
      </w:r>
      <w:r>
        <w:rPr>
          <w:rFonts w:ascii="Vazirmatn" w:hAnsi="Vazirmatn"/>
          <w:b/>
        </w:rPr>
        <w:t>LVEF ≤ ۳۵٪ پس از ۳ ماه تداوی بهینه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ایسکیمی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سلولی → مرگ (انفارکت).</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۲–۴ برابر — ایسکیمی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انمی مزمن</w:t>
            </w:r>
          </w:p>
        </w:tc>
        <w:tc>
          <w:tcPr>
            <w:tcW w:type="dxa" w:w="5156"/>
          </w:tcPr>
          <w:p>
            <w:pPr>
              <w:bidi w:val="1"/>
            </w:pPr>
            <w:r>
              <w:rPr>
                <w:sz w:val="18"/>
              </w:rPr>
            </w:r>
            <w:r>
              <w:rPr>
                <w:rFonts w:ascii="Vazirmatn" w:hAnsi="Vazirmatn"/>
                <w:sz w:val="18"/>
              </w:rPr>
              <w:t>کم‌رسانی اکسیجن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نورمال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دایسکشن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سگرت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دایسکشن.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تکی‌کاردی/برادیکاردی از ERC/RCUK 2021 نقل شده؛ ERC و AHA در 2025 رهنمود تازهٔ احیا نشر کردند (جایگاه اصلی: فصل ۷۷) — دوزهای الگوریتم این فصل با 2025 خط به خط مطابقت نشده (SD-98).</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ایسکیمی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سوفل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نارسایی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رخصت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فقط اگر SpO₂ کمتر از ۹۲ فیصد؛ هدف ۹۳–۹۵ فیصد (GINA 2026؛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رخصت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۷۲–۷۴ (امراض نسج منضم).</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۶۷ (سپسیس)، ۷۷ (شوک)، و ۵۸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آسما/NAEB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واسکولیت)، و ۶۴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اثناعشر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انمی فقر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اثناعشر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(اپندیسیت، کولی‌سیستیت، AMI)، ESVS 2025 mesenteric (جانشین 2017؛ SD-95)، SIS/IDSA اصول IAI.</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زرقی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۳۳ (انسفالوپاتی و عدم کفایهٔ حاد کبد)، ۳۱ (HBV، HCV، HDV)، ۲۸ (PSC با کولیت اولسراتیف)، ۳۸ (AKI)، ۴۴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Association for the Study of the Liver. EASL Clinical Practice Guidelines on the management of hepatic encephalopathy. J Hepatol 2022;77:807–824.</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(HAV، HBV، HEV)، ۳۸ (AKI)، ۴۲ و ۴۴ (پوتاشیم و سودیم)، ۷۹ (Paracetamol)، ۵۹ (دلیریوم) و ۸۷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۳۰ (سوء جذب)، ۴۲ (کلسیم)، ۴۶ (دیابت)، ۵۲ (لیپید — TG)، ۶۷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بطن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r>
        <w:rPr>
          <w:rFonts w:ascii="Vazirmatn" w:hAnsi="Vazirmatn"/>
          <w:color w:val="0F2744"/>
        </w:rPr>
        <w:t xml:space="preserve"> · </w:t>
      </w:r>
      <w:r>
        <w:rPr>
          <w:rFonts w:ascii="Vazirmatn" w:hAnsi="Vazirmatn"/>
          <w:i/>
          <w:color w:val="0F2744"/>
        </w:rPr>
        <w:t xml:space="preserve">تازگی (سپتمبر 2026): </w:t>
      </w:r>
      <w:r>
        <w:rPr>
          <w:rFonts w:ascii="Vazirmatn" w:hAnsi="Vazirmatn"/>
          <w:i/>
          <w:color w:val="0F2744"/>
        </w:rPr>
        <w:t>ERC 2025 Special Circumstances</w:t>
      </w:r>
      <w:r>
        <w:rPr>
          <w:rFonts w:ascii="Vazirmatn" w:hAnsi="Vazirmatn"/>
          <w:i/>
          <w:color w:val="0F2744"/>
        </w:rPr>
        <w:t xml:space="preserve"> نشر شد؛ بخش دوای ایست قلبی در Hypothermia از متن آن اصلاح شد (SD-96)؛ باقی بخش Hypothermia هنوز →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مریض در خطر ایست یا در ایست → مستقیم به مرکز ECLS (اگر دستیاب باشد). تعداد شاک‌ها زیر ۳۰ °C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