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rPr>
          <w:b/>
          <w:bCs/>
        </w:rPr>
        <w:t xml:space="preserve">Microglia</w:t>
      </w:r>
      <w:r>
        <w:t xml:space="preserve"> </w:t>
      </w:r>
      <w:r>
        <w:t xml:space="preserve">are the resident CNS macrophages. Under usual physiological conditions they arise mainly from</w:t>
      </w:r>
      <w:r>
        <w:t xml:space="preserve"> </w:t>
      </w:r>
      <w:r>
        <w:rPr>
          <w:b/>
          <w:bCs/>
        </w:rPr>
        <w:t xml:space="preserve">embryonic yolk-sac myeloid progenitors</w:t>
      </w:r>
      <w:r>
        <w:t xml:space="preserve">, colonize the developing CNS, and largely maintain themselves by local self-renewal; they are not simply replenished from circulating adult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Peripheral axons can regrow along Schwann-cell</w:t>
      </w:r>
      <w:r>
        <w:t xml:space="preserve"> </w:t>
      </w:r>
      <w:r>
        <w:rPr>
          <w:b/>
          <w:bCs/>
        </w:rPr>
        <w:t xml:space="preserve">bands of Büngner</w:t>
      </w:r>
      <w:r>
        <w:t xml:space="preserve"> </w:t>
      </w:r>
      <w:r>
        <w:t xml:space="preserve">under favorable conditions; regeneration after adult CNS axonal injury is markedly restricted.</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CNS glia act as resident macrophages, and where do they originate?</w:t>
      </w:r>
      <w:r>
        <w:t xml:space="preserve"> </w:t>
      </w:r>
      <w:r>
        <w:t xml:space="preserve">— Microglia; mainly from embryonic yolk-sac myeloid precursors rather than the adult circulating monocyte pool.</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can regenerate to a limited extent from</w:t>
      </w:r>
      <w:r>
        <w:t xml:space="preserve"> </w:t>
      </w:r>
      <w:r>
        <w:rPr>
          <w:b/>
          <w:bCs/>
        </w:rPr>
        <w:t xml:space="preserve">satellite cells</w:t>
      </w:r>
      <w:r>
        <w:t xml:space="preserve">; preserved basal-lamina and extracellular-matrix scaffolds favor aligned repair, whereas extensive destruction promotes fibrosis.</w:t>
      </w:r>
      <w:r>
        <w:t xml:space="preserve"> </w:t>
      </w:r>
      <w:r>
        <w:rPr>
          <w:b/>
          <w:bCs/>
        </w:rPr>
        <w:t xml:space="preserve">Adult cardiac muscle has very limited regenerative capacity</w:t>
      </w:r>
      <w:r>
        <w:t xml:space="preserve">; substantial infarcts heal predominantly by replacement fibrosis rather than functional regeneration.</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regeneration depends on</w:t>
      </w:r>
      <w:r>
        <w:t xml:space="preserve"> </w:t>
      </w:r>
      <w:r>
        <w:rPr>
          <w:b/>
          <w:bCs/>
        </w:rPr>
        <w:t xml:space="preserve">satellite cells</w:t>
      </w:r>
      <w:r>
        <w:t xml:space="preserve"> </w:t>
      </w:r>
      <w:r>
        <w:t xml:space="preserve">and is more effective when extracellular-matrix scaffolds are preserved.</w:t>
      </w:r>
    </w:p>
    <w:p>
      <w:pPr>
        <w:pStyle w:val="Compact"/>
        <w:numPr>
          <w:ilvl w:val="0"/>
          <w:numId w:val="1051"/>
        </w:numPr>
      </w:pPr>
      <w:r>
        <w:t xml:space="preserve">Adult cardiomyocyte renewal is very limited; a substantial myocardial infarct heals mainly through scar formation.</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Plasma consists mainly of water and dissolved proteins, electrolytes, nutrients, hormones, and waste. The</w:t>
      </w:r>
      <w:r>
        <w:t xml:space="preserve"> </w:t>
      </w:r>
      <w:r>
        <w:rPr>
          <w:b/>
          <w:bCs/>
        </w:rPr>
        <w:t xml:space="preserve">liver produces most major plasma proteins</w:t>
      </w:r>
      <w:r>
        <w:t xml:space="preserve">, including albumin and fibrinogen, while</w:t>
      </w:r>
      <w:r>
        <w:t xml:space="preserve"> </w:t>
      </w:r>
      <w:r>
        <w:rPr>
          <w:b/>
          <w:bCs/>
        </w:rPr>
        <w:t xml:space="preserve">plasma cells produce immunoglobulins</w:t>
      </w:r>
      <w:r>
        <w:t xml:space="preserve">; some complement and other circulating proteins also have extrahepatic sources.</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commonly 3–5 lobes. Eosinophil: usually bilobed, with orange-red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expressed on</w:t>
      </w:r>
      <w:r>
        <w:t xml:space="preserve"> </w:t>
      </w:r>
      <w:r>
        <w:rPr>
          <w:b/>
          <w:bCs/>
        </w:rPr>
        <w:t xml:space="preserve">most nucleated cells</w:t>
      </w:r>
      <w:r>
        <w:t xml:space="preserve">, presenting intracellularly derived peptide fragments (including viral peptides in infected cells) to</w:t>
      </w:r>
      <w:r>
        <w:t xml:space="preserve"> </w:t>
      </w:r>
      <w:r>
        <w:rPr>
          <w:b/>
          <w:bCs/>
        </w:rPr>
        <w:t xml:space="preserve">CD8⁺ cytotoxic T cells</w:t>
      </w:r>
      <w:r>
        <w:t xml:space="preserve">. Some specialized cells, such as certain placental trophoblast populations, have distinct MHC-I expression patterns.</w:t>
      </w:r>
    </w:p>
    <w:p>
      <w:pPr>
        <w:pStyle w:val="Compact"/>
        <w:numPr>
          <w:ilvl w:val="0"/>
          <w:numId w:val="1065"/>
        </w:numPr>
      </w:pPr>
      <w:r>
        <w:rPr>
          <w:b/>
          <w:bCs/>
        </w:rPr>
        <w:t xml:space="preserve">MHC class II</w:t>
      </w:r>
      <w:r>
        <w:t xml:space="preserve"> </w:t>
      </w:r>
      <w:r>
        <w:t xml:space="preserve">— expressed chiefly by</w:t>
      </w:r>
      <w:r>
        <w:t xml:space="preserve"> </w:t>
      </w:r>
      <w:r>
        <w:rPr>
          <w:b/>
          <w:bCs/>
        </w:rPr>
        <w:t xml:space="preserve">professional antigen-presenting cells</w:t>
      </w:r>
      <w:r>
        <w:t xml:space="preserve"> </w:t>
      </w:r>
      <w:r>
        <w:t xml:space="preserve">(dendritic cells, macrophages, B lymphocytes) and also by specialized cells such as thymic epithelial cells; expression can be induced in other cells during inflammation. It commonly presents peptides from extracellular proteins processed in endosomal compartments, including</w:t>
      </w:r>
      <w:r>
        <w:t xml:space="preserve"> </w:t>
      </w:r>
      <w:r>
        <w:rPr>
          <w:b/>
          <w:bCs/>
        </w:rPr>
        <w:t xml:space="preserve">self as well as foreign antigens</w:t>
      </w:r>
      <w:r>
        <w:t xml:space="preserve">, to</w:t>
      </w:r>
      <w:r>
        <w:t xml:space="preserve"> </w:t>
      </w:r>
      <w:r>
        <w:rPr>
          <w:b/>
          <w:bCs/>
        </w:rPr>
        <w:t xml:space="preserve">CD4⁺ T cells</w:t>
      </w:r>
      <w:r>
        <w:t xml:space="preserve">. The distinction from MHC I is useful but not absolute, because cross-presentation and other processing routes exist.</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Splenic and hepatic macrophages break down senescent erythrocyte hemoglobin. Heme oxygenase releases iron for storage in ferritin or export through ferroportin; circulating iron binds transferrin for reuse in erythropoiesis. The heme ring is catabolized to biliverdin and then bilirubin for hepatic processing and biliary excretion.</w:t>
      </w:r>
      <w:r>
        <w:t xml:space="preserve"> </w:t>
      </w:r>
      <w:r>
        <w:rPr>
          <w:b/>
          <w:bCs/>
        </w:rPr>
        <w:t xml:space="preserve">Hemopexin binds free heme in plasma</w:t>
      </w:r>
      <w:r>
        <w:t xml:space="preserve"> </w:t>
      </w:r>
      <w:r>
        <w:t xml:space="preserve">to limit heme toxicity; it is not the carrier required for every intracellular heme-degradation reaction.</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most nucleated cells</w:t>
      </w:r>
      <w:r>
        <w:t xml:space="preserve"> </w:t>
      </w:r>
      <w:r>
        <w:t xml:space="preserve">and usually presents intracellular peptides to</w:t>
      </w:r>
      <w:r>
        <w:t xml:space="preserve"> </w:t>
      </w:r>
      <w:r>
        <w:rPr>
          <w:b/>
          <w:bCs/>
        </w:rPr>
        <w:t xml:space="preserve">CD8⁺</w:t>
      </w:r>
      <w:r>
        <w:t xml:space="preserve"> </w:t>
      </w:r>
      <w:r>
        <w:t xml:space="preserve">T cells.</w:t>
      </w:r>
    </w:p>
    <w:p>
      <w:pPr>
        <w:pStyle w:val="Compact"/>
        <w:numPr>
          <w:ilvl w:val="0"/>
          <w:numId w:val="1069"/>
        </w:numPr>
      </w:pPr>
      <w:r>
        <w:t xml:space="preserve">MHC II is expressed mainly on</w:t>
      </w:r>
      <w:r>
        <w:t xml:space="preserve"> </w:t>
      </w:r>
      <w:r>
        <w:rPr>
          <w:b/>
          <w:bCs/>
        </w:rPr>
        <w:t xml:space="preserve">dendritic cells, macrophages and B cells</w:t>
      </w:r>
      <w:r>
        <w:t xml:space="preserve">, with additional specialized or inducible expression; it presents processed peptides to</w:t>
      </w:r>
      <w:r>
        <w:t xml:space="preserve"> </w:t>
      </w:r>
      <w:r>
        <w:rPr>
          <w:b/>
          <w:bCs/>
        </w:rPr>
        <w:t xml:space="preserve">CD4⁺</w:t>
      </w:r>
      <w:r>
        <w:t xml:space="preserve"> </w:t>
      </w:r>
      <w:r>
        <w:t xml:space="preserve">T 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typically present peptides on MHC II?</w:t>
      </w:r>
      <w:r>
        <w:t xml:space="preserve"> </w:t>
      </w:r>
      <w:r>
        <w:t xml:space="preserve">— Professional antigen-presenting cells: dendritic cells, macrophages, and B cells; thymic epithelial cells also present peptides during T-cell selection.</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independently written guide synthesizes concepts from standard microscopic anatomy.</w:t>
      </w:r>
      <w:r>
        <w:t xml:space="preserve"> </w:t>
      </w:r>
      <w:r>
        <w:rPr>
          <w:i/>
          <w:iCs/>
        </w:rPr>
        <w:t xml:space="preserve">Junqueira’s Basic Histology</w:t>
      </w:r>
      <w:r>
        <w:t xml:space="preserve">, 17th edition, is a principal textbook for the curriculum and broad structure;</w:t>
      </w:r>
      <w:r>
        <w:t xml:space="preserve"> </w:t>
      </w:r>
      <w:r>
        <w:rPr>
          <w:b/>
          <w:bCs/>
        </w:rPr>
        <w:t xml:space="preserve">its inclusion does not certify a line-by-line verification of the entire manuscript</w:t>
      </w:r>
      <w:r>
        <w:t xml:space="preserve">. Other textbooks below are suggestions for deeper study. Selected scientific papers are cited where specific corrections were checked against accessible abstracts or full text. No copyrighted photographs or passages have been copied into this book.</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Barry-Carroll L, Gomez-Nicola D. The molecular determinants of microglial developmental dynamics.</w:t>
      </w:r>
      <w:r>
        <w:t xml:space="preserve"> </w:t>
      </w:r>
      <w:r>
        <w:rPr>
          <w:i/>
          <w:iCs/>
        </w:rPr>
        <w:t xml:space="preserve">Nature Reviews Neuroscience</w:t>
      </w:r>
      <w:r>
        <w:t xml:space="preserve">. 2024;25:414–427. doi:10.1038/s41583-024-00813-1. Microglia mainly originate from yolk-sac progenitors and self-maintain within CNS tissue.</w:t>
      </w:r>
    </w:p>
    <w:p>
      <w:pPr>
        <w:pStyle w:val="Compact"/>
        <w:numPr>
          <w:ilvl w:val="0"/>
          <w:numId w:val="1146"/>
        </w:numPr>
      </w:pPr>
      <w:r>
        <w:t xml:space="preserve">Roche PA, Furuta K. The ins and outs of MHC class II-mediated antigen processing and presentation.</w:t>
      </w:r>
      <w:r>
        <w:t xml:space="preserve"> </w:t>
      </w:r>
      <w:r>
        <w:rPr>
          <w:i/>
          <w:iCs/>
        </w:rPr>
        <w:t xml:space="preserve">Nature Reviews Immunology</w:t>
      </w:r>
      <w:r>
        <w:t xml:space="preserve">. 2015;15:203–216. doi:10.1038/nri3818. Professional MHC-II antigen presenters include dendritic cells, macrophages, B cells, and thymic epithelial cells.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Evidence and verification limits.</w:t>
      </w:r>
      <w:r>
        <w:t xml:space="preserve"> </w:t>
      </w:r>
      <w:r>
        <w:t xml:space="preserve">The manuscript underwent automated structural checks and targeted correction of specific histology claims. The dated, identifiable references above support those selected corrections; this is</w:t>
      </w:r>
      <w:r>
        <w:t xml:space="preserve"> </w:t>
      </w:r>
      <w:r>
        <w:rPr>
          <w:b/>
          <w:bCs/>
        </w:rPr>
        <w:t xml:space="preserve">not</w:t>
      </w:r>
      <w:r>
        <w:t xml:space="preserve"> </w:t>
      </w:r>
      <w:r>
        <w:t xml:space="preserve">a comprehensive citation-by-citation audit of all measurements, mechanisms, clinical correlations, or practice questions. General textbook coverage does not replace independent specialist review. Numeric estimates vary by specimen, method, and population and should be interpreted as approximate unless a clear source and context are supplied.</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6" w:name="part-vii-practice-examination"/>
    <w:p>
      <w:pPr>
        <w:pStyle w:val="Heading1"/>
        <w:pageBreakBefore/>
      </w:pPr>
      <w:r>
        <w:t xml:space="preserve">PART VII — PRACTICE EXAMINATION</w:t>
      </w:r>
    </w:p>
    <w:bookmarkStart w:id="38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Start w:id="382"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2"/>
    <w:bookmarkEnd w:id="383"/>
    <w:bookmarkStart w:id="384"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4"/>
    <w:bookmarkStart w:id="38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5"/>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2026-10-22T19:54:11Z</dcterms:created>
  <dcterms:modified xsi:type="dcterms:W3CDTF">2026-10-22T19:54:11Z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