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ریه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حداکثر ۲۰ mcg/min</w:t>
            </w:r>
            <w:r>
              <w:rPr>
                <w:rFonts w:ascii="Vazirmatn" w:hAnsi="Vazirmatn"/>
                <w:sz w:val="18"/>
              </w:rPr>
              <w:t xml:space="preserve"> در این جدول (دوز Nitroglycerin در ادیمای حاد ریه ناشی از عدم کفایهٔ قلب → فصل ۷)</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حداکثر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ریه</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(حداکثر ۱۰۰ mg برای دو دوز اول)؛ سن ۷۵ یا بیشتر — بدون bolus، ۰.۷۵ mg/kg SC هر ۱۲ ساعت (حداکثر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Fibrin-specific (TNK، Alteplase) ترجیح دارد؛ دوز SK در این نشست از منبع اولیه تأیید نشد (SD-99)</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ریهٔ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تاکی‌کاردی/برادیکاردی از ERC/RCUK 2021 نقل شده؛ ERC و AHA در 2025 رهنمود تازهٔ احیا نشر کردند (جایگاه اصلی: فصل ۷۷) — دوزهای الگوریتم این فصل با 2025 خط به خط مطابقت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حداکثر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از ERC 2021؛ دوز Amiodarone با ERC 2025 یکی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(حداکثر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حداکثر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مکروفاژها آن را می‌بلعند ← باسیل در داخل مکروفاژ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ریه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ریه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ریه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ریه</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ریه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ریه</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ریهٔ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ریه:</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ریهٔ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ریه،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چک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تابلیت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ریه،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ریه،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حداکثر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الکول مزمن، (فصل ۸۷)،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اریتمی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(پرسوب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(حداکثر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 (فصل ۸۶).</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