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Five questions to answer from memory before checking</w:t>
            </w:r>
          </w:p>
        </w:tc>
      </w:tr>
      <w:tr>
        <w:tc>
          <w:tcPr/>
          <w:p>
            <w:pPr>
              <w:pStyle w:val="Compact"/>
            </w:pPr>
            <w:r>
              <w:rPr>
                <w:b/>
                <w:bCs/>
              </w:rPr>
              <w:t xml:space="preserve">Exam-style question</w:t>
            </w:r>
          </w:p>
        </w:tc>
        <w:tc>
          <w:tcPr/>
          <w:p>
            <w:pPr>
              <w:pStyle w:val="Compact"/>
            </w:pPr>
            <w:r>
              <w:t xml:space="preserve">One worked MCQ, with the reason each distractor fails</w:t>
            </w:r>
          </w:p>
        </w:tc>
      </w:tr>
      <w:tr>
        <w:tc>
          <w:tcPr/>
          <w:p>
            <w:pPr>
              <w:pStyle w:val="Compact"/>
            </w:pPr>
            <w:r>
              <w:rPr>
                <w:b/>
                <w:bCs/>
              </w:rPr>
              <w:t xml:space="preserve">Plates to study</w:t>
            </w:r>
          </w:p>
        </w:tc>
        <w:tc>
          <w:tcPr/>
          <w:p>
            <w:pPr>
              <w:pStyle w:val="Compact"/>
            </w:pPr>
            <w:r>
              <w:t xml:space="preserve">Six atlas figures, with the part and page where each one sits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guide uses the book’s figure. Some standard physiology and clinical numbers (GFR, bladder volumes, sperm-density thresholds) are added because examiners ask for them; they are context, not claims about the book’s text. Nothing here is attributed to the book unless the book states it.</w:t>
      </w:r>
    </w:p>
    <w:p>
      <w:pPr>
        <w:pStyle w:val="BodyText"/>
      </w:pPr>
      <w:r>
        <w:rPr>
          <w:b/>
          <w:bCs/>
        </w:rPr>
        <w:t xml:space="preserve">The complete study system</w:t>
      </w:r>
      <w:r>
        <w:t xml:space="preserve"> </w:t>
      </w:r>
      <w:r>
        <w:t xml:space="preserve">— the book is one deliverable, not the whole course: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Use it for</w:t>
            </w:r>
          </w:p>
        </w:tc>
      </w:tr>
      <w:tr>
        <w:tc>
          <w:tcPr/>
          <w:p>
            <w:pPr>
              <w:pStyle w:val="Compact"/>
            </w:pPr>
            <w:r>
              <w:rPr>
                <w:rStyle w:val="VerbatimChar"/>
              </w:rPr>
              <w:t xml:space="preserve">Junqueira_Exam_Companion.pdf</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.html</w:t>
            </w:r>
          </w:p>
        </w:tc>
        <w:tc>
          <w:tcPr/>
          <w:p>
            <w:pPr>
              <w:pStyle w:val="Compact"/>
            </w:pPr>
            <w:r>
              <w:t xml:space="preserve">Reading, revision, and printing</w:t>
            </w:r>
          </w:p>
        </w:tc>
      </w:tr>
      <w:tr>
        <w:tc>
          <w:tcPr/>
          <w:p>
            <w:pPr>
              <w:pStyle w:val="Compact"/>
            </w:pPr>
            <w:r>
              <w:rPr>
                <w:rStyle w:val="VerbatimChar"/>
              </w:rPr>
              <w:t xml:space="preserve">deliverables/junqueira_flashcards.csv</w:t>
            </w:r>
          </w:p>
        </w:tc>
        <w:tc>
          <w:tcPr/>
          <w:p>
            <w:pPr>
              <w:pStyle w:val="Compact"/>
            </w:pPr>
            <w:r>
              <w:t xml:space="preserve">Spaced repetition — import into Anki (fields: Front, Back, Tags, Type)</w:t>
            </w:r>
          </w:p>
        </w:tc>
      </w:tr>
      <w:tr>
        <w:tc>
          <w:tcPr/>
          <w:p>
            <w:pPr>
              <w:pStyle w:val="Compact"/>
            </w:pPr>
            <w:r>
              <w:rPr>
                <w:rStyle w:val="VerbatimChar"/>
              </w:rPr>
              <w:t xml:space="preserve">deliverables/junqueira_question_bank.csv</w:t>
            </w:r>
          </w:p>
        </w:tc>
        <w:tc>
          <w:tcPr/>
          <w:p>
            <w:pPr>
              <w:pStyle w:val="Compact"/>
            </w:pPr>
            <w:r>
              <w:t xml:space="preserve">Timed practice — question, four options, answer, explanation, and why each distractor fails</w:t>
            </w:r>
          </w:p>
        </w:tc>
      </w:tr>
      <w:tr>
        <w:tc>
          <w:tcPr/>
          <w:p>
            <w:pPr>
              <w:pStyle w:val="Compact"/>
            </w:pPr>
            <w:r>
              <w:rPr>
                <w:rStyle w:val="VerbatimChar"/>
              </w:rPr>
              <w:t xml:space="preserve">COVERAGE.md</w:t>
            </w:r>
          </w:p>
        </w:tc>
        <w:tc>
          <w:tcPr/>
          <w:p>
            <w:pPr>
              <w:pStyle w:val="Compact"/>
            </w:pPr>
            <w:r>
              <w:t xml:space="preserve">The audit trail: what was read, what is in each chapter, and the known discrepancies</w:t>
            </w:r>
          </w:p>
        </w:tc>
      </w:tr>
    </w:tbl>
    <w:p>
      <w:pPr>
        <w:pStyle w:val="BodyText"/>
      </w:pPr>
      <w:r>
        <w:t xml:space="preserve">Suggested spacing: learn a chapter, review its cards on days 1, 3, 7, 16 and 35, and interleave two earlier chapters’ cards in every session. Interleaving feels harder and works better.</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fibers, cartilage, muscle, leukocytes,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recognizes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w:t>
      </w:r>
      <w:r>
        <w:t xml:space="preserve"> </w:t>
      </w:r>
      <w:r>
        <w:rPr>
          <w:b/>
          <w:bCs/>
        </w:rPr>
        <w:t xml:space="preserve">All four parts have now been read and every chapter has been checked against its part:</w:t>
      </w:r>
      <w:r>
        <w:t xml:space="preserve"> </w:t>
      </w:r>
      <w:r>
        <w:t xml:space="preserve">Chapters 1–7 against</w:t>
      </w:r>
      <w:r>
        <w:t xml:space="preserve"> </w:t>
      </w:r>
      <w:r>
        <w:rPr>
          <w:rStyle w:val="VerbatimChar"/>
        </w:rPr>
        <w:t xml:space="preserve">MyDocument_part_1.pdf</w:t>
      </w:r>
      <w:r>
        <w:t xml:space="preserve">, Chapters 8–14 against part 2, Chapters 15–19 and the pituitary, adrenal, islet and thyroid sections of Chapter 20 against part 3, and the parathyroid and pineal sections of Chapter 20, Chapters 21–23 and Appendix A against part 4. The PDF page column is written</w:t>
      </w:r>
      <w:r>
        <w:t xml:space="preserve"> </w:t>
      </w:r>
      <w:r>
        <w:rPr>
          <w:rStyle w:val="VerbatimChar"/>
        </w:rPr>
        <w:t xml:space="preserve">p1</w:t>
      </w:r>
      <w:r>
        <w:t xml:space="preserve">,</w:t>
      </w:r>
      <w:r>
        <w:t xml:space="preserve"> </w:t>
      </w:r>
      <w:r>
        <w:rPr>
          <w:rStyle w:val="VerbatimChar"/>
        </w:rPr>
        <w:t xml:space="preserve">p2</w:t>
      </w:r>
      <w:r>
        <w:t xml:space="preserve">,</w:t>
      </w:r>
      <w:r>
        <w:t xml:space="preserve"> </w:t>
      </w:r>
      <w:r>
        <w:rPr>
          <w:rStyle w:val="VerbatimChar"/>
        </w:rPr>
        <w:t xml:space="preserve">p3</w:t>
      </w:r>
      <w:r>
        <w:t xml:space="preserve">,</w:t>
      </w:r>
      <w:r>
        <w:t xml:space="preserve"> </w:t>
      </w:r>
      <w:r>
        <w:rPr>
          <w:rStyle w:val="VerbatimChar"/>
        </w:rPr>
        <w:t xml:space="preserve">p4</w:t>
      </w:r>
      <w:r>
        <w:t xml:space="preserve"> </w:t>
      </w:r>
      <w:r>
        <w:t xml:space="preserve">for the part file, then the page inside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page</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p1 ·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p1 ·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p1 ·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p1 ·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p1 ·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p1 ·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p1 ·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p2 · 3</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p2 · 37</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p2 · 87</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p2 · 120</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p2 · 156</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p2 · 181</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p2 · 199 + p3 · 1</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p3 · 23</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p3 · 71</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p3 · 100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p3 · 132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p3 · 161</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p3 · 191 to end; p4 · 1–10</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p4 · 11</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p4 · 40</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p4 · 84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p4 · 138</w:t>
            </w:r>
          </w:p>
        </w:tc>
        <w:tc>
          <w:tcPr/>
          <w:p>
            <w:pPr>
              <w:pStyle w:val="Compact"/>
            </w:pPr>
            <w:r>
              <w:t xml:space="preserve">Appendix A</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transmission EM about 0.2 nm.</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0.2 nm — a thousand-fold difference.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1"/>
        </w:numPr>
      </w:pPr>
      <w:r>
        <w:rPr>
          <w:b/>
          <w:bCs/>
        </w:rPr>
        <w:t xml:space="preserve">Fig. 1–1</w:t>
      </w:r>
      <w:r>
        <w:t xml:space="preserve"> </w:t>
      </w:r>
      <w:r>
        <w:t xml:space="preserve">— Sectioning fixed and embedded tissue (p1 · 14).</w:t>
      </w:r>
    </w:p>
    <w:p>
      <w:pPr>
        <w:pStyle w:val="Compact"/>
        <w:numPr>
          <w:ilvl w:val="0"/>
          <w:numId w:val="1011"/>
        </w:numPr>
      </w:pPr>
      <w:r>
        <w:rPr>
          <w:b/>
          <w:bCs/>
        </w:rPr>
        <w:t xml:space="preserve">Fig. 1–4</w:t>
      </w:r>
      <w:r>
        <w:t xml:space="preserve"> </w:t>
      </w:r>
      <w:r>
        <w:t xml:space="preserve">— Appearance of cells with fluorescent microscopy (p1 · 19).</w:t>
      </w:r>
    </w:p>
    <w:p>
      <w:pPr>
        <w:pStyle w:val="Compact"/>
        <w:numPr>
          <w:ilvl w:val="0"/>
          <w:numId w:val="1011"/>
        </w:numPr>
      </w:pPr>
      <w:r>
        <w:rPr>
          <w:b/>
          <w:bCs/>
        </w:rPr>
        <w:t xml:space="preserve">Fig. 1–6</w:t>
      </w:r>
      <w:r>
        <w:t xml:space="preserve"> </w:t>
      </w:r>
      <w:r>
        <w:t xml:space="preserve">— Principle of confocal microscopy (p1 · 22).</w:t>
      </w:r>
    </w:p>
    <w:p>
      <w:pPr>
        <w:pStyle w:val="Compact"/>
        <w:numPr>
          <w:ilvl w:val="0"/>
          <w:numId w:val="1011"/>
        </w:numPr>
      </w:pPr>
      <w:r>
        <w:rPr>
          <w:b/>
          <w:bCs/>
        </w:rPr>
        <w:t xml:space="preserve">Fig. 1–9</w:t>
      </w:r>
      <w:r>
        <w:t xml:space="preserve"> </w:t>
      </w:r>
      <w:r>
        <w:t xml:space="preserve">— Microscopic autoradiography (p1 · 26).</w:t>
      </w:r>
    </w:p>
    <w:p>
      <w:pPr>
        <w:pStyle w:val="Compact"/>
        <w:numPr>
          <w:ilvl w:val="0"/>
          <w:numId w:val="1011"/>
        </w:numPr>
      </w:pPr>
      <w:r>
        <w:rPr>
          <w:b/>
          <w:bCs/>
        </w:rPr>
        <w:t xml:space="preserve">Fig. 1–11</w:t>
      </w:r>
      <w:r>
        <w:t xml:space="preserve"> </w:t>
      </w:r>
      <w:r>
        <w:t xml:space="preserve">— Immunocytochemistry techniques (p1 · 31).</w:t>
      </w:r>
    </w:p>
    <w:p>
      <w:pPr>
        <w:pStyle w:val="Compact"/>
        <w:numPr>
          <w:ilvl w:val="0"/>
          <w:numId w:val="1011"/>
        </w:numPr>
      </w:pPr>
      <w:r>
        <w:rPr>
          <w:b/>
          <w:bCs/>
        </w:rPr>
        <w:t xml:space="preserve">Fig. 1–14</w:t>
      </w:r>
      <w:r>
        <w:t xml:space="preserve"> </w:t>
      </w:r>
      <w:r>
        <w:t xml:space="preserve">— Interpretation of 3D structures in 2D sections (p1 · 36).</w:t>
      </w:r>
    </w:p>
    <w:bookmarkEnd w:id="33"/>
    <w:bookmarkEnd w:id="34"/>
    <w:bookmarkStart w:id="4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6"/>
        </w:numPr>
      </w:pPr>
      <w:r>
        <w:rPr>
          <w:b/>
          <w:bCs/>
        </w:rPr>
        <w:t xml:space="preserve">Fig. 2–1</w:t>
      </w:r>
      <w:r>
        <w:t xml:space="preserve"> </w:t>
      </w:r>
      <w:r>
        <w:t xml:space="preserve">— Lipids in membrane structure (p1 · 42).</w:t>
      </w:r>
    </w:p>
    <w:p>
      <w:pPr>
        <w:pStyle w:val="Compact"/>
        <w:numPr>
          <w:ilvl w:val="0"/>
          <w:numId w:val="1016"/>
        </w:numPr>
      </w:pPr>
      <w:r>
        <w:rPr>
          <w:b/>
          <w:bCs/>
        </w:rPr>
        <w:t xml:space="preserve">Fig. 2–6</w:t>
      </w:r>
      <w:r>
        <w:t xml:space="preserve"> </w:t>
      </w:r>
      <w:r>
        <w:t xml:space="preserve">— Three major forms of endocytosis (p1 · 50).</w:t>
      </w:r>
    </w:p>
    <w:p>
      <w:pPr>
        <w:pStyle w:val="Compact"/>
        <w:numPr>
          <w:ilvl w:val="0"/>
          <w:numId w:val="1016"/>
        </w:numPr>
      </w:pPr>
      <w:r>
        <w:rPr>
          <w:b/>
          <w:bCs/>
        </w:rPr>
        <w:t xml:space="preserve">Fig. 2–12</w:t>
      </w:r>
      <w:r>
        <w:t xml:space="preserve"> </w:t>
      </w:r>
      <w:r>
        <w:t xml:space="preserve">— Protein localization and cell morphology (p1 · 58).</w:t>
      </w:r>
    </w:p>
    <w:p>
      <w:pPr>
        <w:pStyle w:val="Compact"/>
        <w:numPr>
          <w:ilvl w:val="0"/>
          <w:numId w:val="1016"/>
        </w:numPr>
      </w:pPr>
      <w:r>
        <w:rPr>
          <w:b/>
          <w:bCs/>
        </w:rPr>
        <w:t xml:space="preserve">Fig. 2–17</w:t>
      </w:r>
      <w:r>
        <w:t xml:space="preserve"> </w:t>
      </w:r>
      <w:r>
        <w:t xml:space="preserve">— Lysosomal functions (p1 · 65).</w:t>
      </w:r>
    </w:p>
    <w:p>
      <w:pPr>
        <w:pStyle w:val="Compact"/>
        <w:numPr>
          <w:ilvl w:val="0"/>
          <w:numId w:val="1016"/>
        </w:numPr>
      </w:pPr>
      <w:r>
        <w:rPr>
          <w:b/>
          <w:bCs/>
        </w:rPr>
        <w:t xml:space="preserve">Fig. 2–23</w:t>
      </w:r>
      <w:r>
        <w:t xml:space="preserve"> </w:t>
      </w:r>
      <w:r>
        <w:t xml:space="preserve">— Dynamic instability of microtubules (p1 · 75).</w:t>
      </w:r>
    </w:p>
    <w:p>
      <w:pPr>
        <w:pStyle w:val="Compact"/>
        <w:numPr>
          <w:ilvl w:val="0"/>
          <w:numId w:val="1016"/>
        </w:numPr>
      </w:pPr>
      <w:r>
        <w:rPr>
          <w:b/>
          <w:bCs/>
        </w:rPr>
        <w:t xml:space="preserve">Fig. 2–28</w:t>
      </w:r>
      <w:r>
        <w:t xml:space="preserve"> </w:t>
      </w:r>
      <w:r>
        <w:t xml:space="preserve">— Cellular inclusions (p1 · 84).</w:t>
      </w:r>
    </w:p>
    <w:bookmarkEnd w:id="45"/>
    <w:bookmarkEnd w:id="46"/>
    <w:bookmarkStart w:id="59"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fibers).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most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cannot regenerate.</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2"/>
        </w:numPr>
      </w:pPr>
      <w:r>
        <w:rPr>
          <w:b/>
          <w:bCs/>
        </w:rPr>
        <w:t xml:space="preserve">Fig. 3–1</w:t>
      </w:r>
      <w:r>
        <w:t xml:space="preserve"> </w:t>
      </w:r>
      <w:r>
        <w:t xml:space="preserve">— Nuclei of large, active cells (p1 · 92).</w:t>
      </w:r>
    </w:p>
    <w:p>
      <w:pPr>
        <w:pStyle w:val="Compact"/>
        <w:numPr>
          <w:ilvl w:val="0"/>
          <w:numId w:val="1022"/>
        </w:numPr>
      </w:pPr>
      <w:r>
        <w:rPr>
          <w:b/>
          <w:bCs/>
        </w:rPr>
        <w:t xml:space="preserve">Fig. 3–5</w:t>
      </w:r>
      <w:r>
        <w:t xml:space="preserve"> </w:t>
      </w:r>
      <w:r>
        <w:t xml:space="preserve">— Nuclear pores (p1 · 96).</w:t>
      </w:r>
    </w:p>
    <w:p>
      <w:pPr>
        <w:pStyle w:val="Compact"/>
        <w:numPr>
          <w:ilvl w:val="0"/>
          <w:numId w:val="1022"/>
        </w:numPr>
      </w:pPr>
      <w:r>
        <w:rPr>
          <w:b/>
          <w:bCs/>
        </w:rPr>
        <w:t xml:space="preserve">Fig. 3–9</w:t>
      </w:r>
      <w:r>
        <w:t xml:space="preserve"> </w:t>
      </w:r>
      <w:r>
        <w:t xml:space="preserve">— Chromosome territories of a human fibroblast nucleus (p1 · 101).</w:t>
      </w:r>
    </w:p>
    <w:p>
      <w:pPr>
        <w:pStyle w:val="Compact"/>
        <w:numPr>
          <w:ilvl w:val="0"/>
          <w:numId w:val="1022"/>
        </w:numPr>
      </w:pPr>
      <w:r>
        <w:rPr>
          <w:b/>
          <w:bCs/>
        </w:rPr>
        <w:t xml:space="preserve">Fig. 3–12</w:t>
      </w:r>
      <w:r>
        <w:t xml:space="preserve"> </w:t>
      </w:r>
      <w:r>
        <w:t xml:space="preserve">— Cell cycle (p1 · 106).</w:t>
      </w:r>
    </w:p>
    <w:p>
      <w:pPr>
        <w:pStyle w:val="Compact"/>
        <w:numPr>
          <w:ilvl w:val="0"/>
          <w:numId w:val="1022"/>
        </w:numPr>
      </w:pPr>
      <w:r>
        <w:rPr>
          <w:b/>
          <w:bCs/>
        </w:rPr>
        <w:t xml:space="preserve">Fig. 3–16</w:t>
      </w:r>
      <w:r>
        <w:t xml:space="preserve"> </w:t>
      </w:r>
      <w:r>
        <w:t xml:space="preserve">— Mitotic cells in adult tissues (p1 · 111).</w:t>
      </w:r>
    </w:p>
    <w:p>
      <w:pPr>
        <w:pStyle w:val="Compact"/>
        <w:numPr>
          <w:ilvl w:val="0"/>
          <w:numId w:val="1022"/>
        </w:numPr>
      </w:pPr>
      <w:r>
        <w:rPr>
          <w:b/>
          <w:bCs/>
        </w:rPr>
        <w:t xml:space="preserve">Fig. 3–20</w:t>
      </w:r>
      <w:r>
        <w:t xml:space="preserve"> </w:t>
      </w:r>
      <w:r>
        <w:t xml:space="preserve">— Late apoptosis—apoptotic bodies (p1 · 116).</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Keratin 5/14 mark the basal layer; keratin 1/10 mark suprabasal layers.</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8"/>
        </w:numPr>
      </w:pPr>
      <w:r>
        <w:rPr>
          <w:b/>
          <w:bCs/>
        </w:rPr>
        <w:t xml:space="preserve">Fig. 4–1</w:t>
      </w:r>
      <w:r>
        <w:t xml:space="preserve"> </w:t>
      </w:r>
      <w:r>
        <w:t xml:space="preserve">— Epithelia and adjacent connective tissue (p1 · 123).</w:t>
      </w:r>
    </w:p>
    <w:p>
      <w:pPr>
        <w:pStyle w:val="Compact"/>
        <w:numPr>
          <w:ilvl w:val="0"/>
          <w:numId w:val="1028"/>
        </w:numPr>
      </w:pPr>
      <w:r>
        <w:rPr>
          <w:b/>
          <w:bCs/>
        </w:rPr>
        <w:t xml:space="preserve">Fig. 4–6</w:t>
      </w:r>
      <w:r>
        <w:t xml:space="preserve"> </w:t>
      </w:r>
      <w:r>
        <w:t xml:space="preserve">— View of a tight junction after cryofracture (p1 · 129).</w:t>
      </w:r>
    </w:p>
    <w:p>
      <w:pPr>
        <w:pStyle w:val="Compact"/>
        <w:numPr>
          <w:ilvl w:val="0"/>
          <w:numId w:val="1028"/>
        </w:numPr>
      </w:pPr>
      <w:r>
        <w:rPr>
          <w:b/>
          <w:bCs/>
        </w:rPr>
        <w:t xml:space="preserve">Fig. 4–12</w:t>
      </w:r>
      <w:r>
        <w:t xml:space="preserve"> </w:t>
      </w:r>
      <w:r>
        <w:t xml:space="preserve">— Simple squamous epithelium (p1 · 137).</w:t>
      </w:r>
    </w:p>
    <w:p>
      <w:pPr>
        <w:pStyle w:val="Compact"/>
        <w:numPr>
          <w:ilvl w:val="0"/>
          <w:numId w:val="1028"/>
        </w:numPr>
      </w:pPr>
      <w:r>
        <w:rPr>
          <w:b/>
          <w:bCs/>
        </w:rPr>
        <w:t xml:space="preserve">Fig. 4–17</w:t>
      </w:r>
      <w:r>
        <w:t xml:space="preserve"> </w:t>
      </w:r>
      <w:r>
        <w:t xml:space="preserve">— Pseudostratified epithelium (p1 · 144).</w:t>
      </w:r>
    </w:p>
    <w:p>
      <w:pPr>
        <w:pStyle w:val="Compact"/>
        <w:numPr>
          <w:ilvl w:val="0"/>
          <w:numId w:val="1028"/>
        </w:numPr>
      </w:pPr>
      <w:r>
        <w:rPr>
          <w:b/>
          <w:bCs/>
        </w:rPr>
        <w:t xml:space="preserve">Fig. 4–23</w:t>
      </w:r>
      <w:r>
        <w:t xml:space="preserve"> </w:t>
      </w:r>
      <w:r>
        <w:t xml:space="preserve">— Apocrine secretion in the mammary gland (p1 · 151).</w:t>
      </w:r>
    </w:p>
    <w:p>
      <w:pPr>
        <w:pStyle w:val="Compact"/>
        <w:numPr>
          <w:ilvl w:val="0"/>
          <w:numId w:val="1028"/>
        </w:numPr>
      </w:pPr>
      <w:r>
        <w:rPr>
          <w:b/>
          <w:bCs/>
        </w:rPr>
        <w:t xml:space="preserve">Fig. 4–28</w:t>
      </w:r>
      <w:r>
        <w:t xml:space="preserve"> </w:t>
      </w:r>
      <w:r>
        <w:t xml:space="preserve">— Features of absorptive cells (p1 · 157).</w:t>
      </w:r>
    </w:p>
    <w:bookmarkEnd w:id="72"/>
    <w:bookmarkEnd w:id="73"/>
    <w:bookmarkStart w:id="84"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35"/>
        </w:numPr>
      </w:pPr>
      <w:r>
        <w:rPr>
          <w:b/>
          <w:bCs/>
        </w:rPr>
        <w:t xml:space="preserve">Fig. 5–1</w:t>
      </w:r>
      <w:r>
        <w:t xml:space="preserve"> </w:t>
      </w:r>
      <w:r>
        <w:t xml:space="preserve">— Embryonic mesenchyme (p1 · 162).</w:t>
      </w:r>
    </w:p>
    <w:p>
      <w:pPr>
        <w:pStyle w:val="Compact"/>
        <w:numPr>
          <w:ilvl w:val="0"/>
          <w:numId w:val="1035"/>
        </w:numPr>
      </w:pPr>
      <w:r>
        <w:rPr>
          <w:b/>
          <w:bCs/>
        </w:rPr>
        <w:t xml:space="preserve">Fig. 5–5</w:t>
      </w:r>
      <w:r>
        <w:t xml:space="preserve"> </w:t>
      </w:r>
      <w:r>
        <w:t xml:space="preserve">— Mast cells (p1 · 170).</w:t>
      </w:r>
    </w:p>
    <w:p>
      <w:pPr>
        <w:pStyle w:val="Compact"/>
        <w:numPr>
          <w:ilvl w:val="0"/>
          <w:numId w:val="1035"/>
        </w:numPr>
      </w:pPr>
      <w:r>
        <w:rPr>
          <w:b/>
          <w:bCs/>
        </w:rPr>
        <w:t xml:space="preserve">Fig. 5–9</w:t>
      </w:r>
      <w:r>
        <w:t xml:space="preserve"> </w:t>
      </w:r>
      <w:r>
        <w:t xml:space="preserve">— Collagen subunit (p1 · 176).</w:t>
      </w:r>
    </w:p>
    <w:p>
      <w:pPr>
        <w:pStyle w:val="Compact"/>
        <w:numPr>
          <w:ilvl w:val="0"/>
          <w:numId w:val="1035"/>
        </w:numPr>
      </w:pPr>
      <w:r>
        <w:rPr>
          <w:b/>
          <w:bCs/>
        </w:rPr>
        <w:t xml:space="preserve">Fig. 5–14</w:t>
      </w:r>
      <w:r>
        <w:t xml:space="preserve"> </w:t>
      </w:r>
      <w:r>
        <w:t xml:space="preserve">— Formation of elastic fibers (p1 · 182).</w:t>
      </w:r>
    </w:p>
    <w:p>
      <w:pPr>
        <w:pStyle w:val="Compact"/>
        <w:numPr>
          <w:ilvl w:val="0"/>
          <w:numId w:val="1035"/>
        </w:numPr>
      </w:pPr>
      <w:r>
        <w:rPr>
          <w:b/>
          <w:bCs/>
        </w:rPr>
        <w:t xml:space="preserve">Fig. 5–18</w:t>
      </w:r>
      <w:r>
        <w:t xml:space="preserve"> </w:t>
      </w:r>
      <w:r>
        <w:t xml:space="preserve">— Movement of fluid in connective tissue (p1 · 187).</w:t>
      </w:r>
    </w:p>
    <w:p>
      <w:pPr>
        <w:pStyle w:val="Compact"/>
        <w:numPr>
          <w:ilvl w:val="0"/>
          <w:numId w:val="1035"/>
        </w:numPr>
      </w:pPr>
      <w:r>
        <w:rPr>
          <w:b/>
          <w:bCs/>
        </w:rPr>
        <w:t xml:space="preserve">Fig. 5–22</w:t>
      </w:r>
      <w:r>
        <w:t xml:space="preserve"> </w:t>
      </w:r>
      <w:r>
        <w:t xml:space="preserve">— Mucoid tissue (p1 · 193).</w:t>
      </w:r>
    </w:p>
    <w:bookmarkEnd w:id="83"/>
    <w:bookmarkEnd w:id="84"/>
    <w:bookmarkStart w:id="93"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0"/>
        </w:numPr>
      </w:pPr>
      <w:r>
        <w:rPr>
          <w:b/>
          <w:bCs/>
        </w:rPr>
        <w:t xml:space="preserve">Fig. 6–1</w:t>
      </w:r>
      <w:r>
        <w:t xml:space="preserve"> </w:t>
      </w:r>
      <w:r>
        <w:t xml:space="preserve">— White adipose tissue (p1 · 197).</w:t>
      </w:r>
    </w:p>
    <w:p>
      <w:pPr>
        <w:pStyle w:val="Compact"/>
        <w:numPr>
          <w:ilvl w:val="0"/>
          <w:numId w:val="1040"/>
        </w:numPr>
      </w:pPr>
      <w:r>
        <w:rPr>
          <w:b/>
          <w:bCs/>
        </w:rPr>
        <w:t xml:space="preserve">Fig. 6–2</w:t>
      </w:r>
      <w:r>
        <w:t xml:space="preserve"> </w:t>
      </w:r>
      <w:r>
        <w:t xml:space="preserve">— Lipid storage and mobilization from adipocytes (p1 · 199).</w:t>
      </w:r>
    </w:p>
    <w:p>
      <w:pPr>
        <w:pStyle w:val="Compact"/>
        <w:numPr>
          <w:ilvl w:val="0"/>
          <w:numId w:val="1040"/>
        </w:numPr>
      </w:pPr>
      <w:r>
        <w:rPr>
          <w:b/>
          <w:bCs/>
        </w:rPr>
        <w:t xml:space="preserve">Fig. 6–3</w:t>
      </w:r>
      <w:r>
        <w:t xml:space="preserve"> </w:t>
      </w:r>
      <w:r>
        <w:t xml:space="preserve">— Development of white and brown fat cells (p1 · 200).</w:t>
      </w:r>
    </w:p>
    <w:p>
      <w:pPr>
        <w:pStyle w:val="Compact"/>
        <w:numPr>
          <w:ilvl w:val="0"/>
          <w:numId w:val="1040"/>
        </w:numPr>
      </w:pPr>
      <w:r>
        <w:rPr>
          <w:b/>
          <w:bCs/>
        </w:rPr>
        <w:t xml:space="preserve">Fig. 6–4</w:t>
      </w:r>
      <w:r>
        <w:t xml:space="preserve"> </w:t>
      </w:r>
      <w:r>
        <w:t xml:space="preserve">— Brown adipose tissue (p1 · 202).</w:t>
      </w:r>
    </w:p>
    <w:bookmarkEnd w:id="92"/>
    <w:bookmarkEnd w:id="93"/>
    <w:bookmarkStart w:id="105"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6"/>
        </w:numPr>
      </w:pPr>
      <w:r>
        <w:rPr>
          <w:b/>
          <w:bCs/>
        </w:rPr>
        <w:t xml:space="preserve">Fig. 7–1</w:t>
      </w:r>
      <w:r>
        <w:t xml:space="preserve"> </w:t>
      </w:r>
      <w:r>
        <w:t xml:space="preserve">— Distribution of cartilage in adults (p1 · 208).</w:t>
      </w:r>
    </w:p>
    <w:p>
      <w:pPr>
        <w:pStyle w:val="Compact"/>
        <w:numPr>
          <w:ilvl w:val="0"/>
          <w:numId w:val="1046"/>
        </w:numPr>
      </w:pPr>
      <w:r>
        <w:rPr>
          <w:b/>
          <w:bCs/>
        </w:rPr>
        <w:t xml:space="preserve">Fig. 7–2</w:t>
      </w:r>
      <w:r>
        <w:t xml:space="preserve"> </w:t>
      </w:r>
      <w:r>
        <w:t xml:space="preserve">— Structure of cartilage matrix and cells (p1 · 209).</w:t>
      </w:r>
    </w:p>
    <w:p>
      <w:pPr>
        <w:pStyle w:val="Compact"/>
        <w:numPr>
          <w:ilvl w:val="0"/>
          <w:numId w:val="1046"/>
        </w:numPr>
      </w:pPr>
      <w:r>
        <w:rPr>
          <w:b/>
          <w:bCs/>
        </w:rPr>
        <w:t xml:space="preserve">Fig. 7–3</w:t>
      </w:r>
      <w:r>
        <w:t xml:space="preserve"> </w:t>
      </w:r>
      <w:r>
        <w:t xml:space="preserve">— Hyaline cartilage (p1 · 211).</w:t>
      </w:r>
    </w:p>
    <w:p>
      <w:pPr>
        <w:pStyle w:val="Compact"/>
        <w:numPr>
          <w:ilvl w:val="0"/>
          <w:numId w:val="1046"/>
        </w:numPr>
      </w:pPr>
      <w:r>
        <w:rPr>
          <w:b/>
          <w:bCs/>
        </w:rPr>
        <w:t xml:space="preserve">Fig. 7–5</w:t>
      </w:r>
      <w:r>
        <w:t xml:space="preserve"> </w:t>
      </w:r>
      <w:r>
        <w:t xml:space="preserve">— Fibrocartilage (p1 · 213).</w:t>
      </w:r>
    </w:p>
    <w:p>
      <w:pPr>
        <w:pStyle w:val="Compact"/>
        <w:numPr>
          <w:ilvl w:val="0"/>
          <w:numId w:val="1046"/>
        </w:numPr>
      </w:pPr>
      <w:r>
        <w:rPr>
          <w:b/>
          <w:bCs/>
        </w:rPr>
        <w:t xml:space="preserve">Fig. 7–6</w:t>
      </w:r>
      <w:r>
        <w:t xml:space="preserve"> </w:t>
      </w:r>
      <w:r>
        <w:t xml:space="preserve">— Chondrogenesis (p1 · 215).</w:t>
      </w:r>
    </w:p>
    <w:p>
      <w:pPr>
        <w:pStyle w:val="Compact"/>
        <w:numPr>
          <w:ilvl w:val="0"/>
          <w:numId w:val="1046"/>
        </w:numPr>
      </w:pPr>
      <w:r>
        <w:rPr>
          <w:b/>
          <w:bCs/>
        </w:rPr>
        <w:t xml:space="preserve">Fig. 7–7</w:t>
      </w:r>
      <w:r>
        <w:t xml:space="preserve"> </w:t>
      </w:r>
      <w:r>
        <w:t xml:space="preserve">— Chondrocytes in growing cartilage (p1 · 215).</w:t>
      </w:r>
    </w:p>
    <w:bookmarkEnd w:id="104"/>
    <w:bookmarkEnd w:id="105"/>
    <w:bookmarkStart w:id="120" w:name="bone"/>
    <w:p>
      <w:pPr>
        <w:pStyle w:val="Heading2"/>
      </w:pPr>
      <w:r>
        <w:t xml:space="preserve">8 · Bone</w:t>
      </w:r>
    </w:p>
    <w:p>
      <w:pPr>
        <w:pStyle w:val="FirstParagraph"/>
      </w:pPr>
      <w:r>
        <w:rPr>
          <w:b/>
          <w:bCs/>
        </w:rPr>
        <w:t xml:space="preserve">pp. 138–160</w:t>
      </w:r>
      <w:r>
        <w:t xml:space="preserve"> </w:t>
      </w:r>
      <w:r>
        <w:t xml:space="preserve">· Part 2, pages 3–36 · 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1"/>
        </w:numPr>
      </w:pPr>
      <w:r>
        <w:rPr>
          <w:b/>
          <w:bCs/>
        </w:rPr>
        <w:t xml:space="preserve">Fig. 8–1</w:t>
      </w:r>
      <w:r>
        <w:t xml:space="preserve"> </w:t>
      </w:r>
      <w:r>
        <w:t xml:space="preserve">— Components of bone (p2 · 3).</w:t>
      </w:r>
    </w:p>
    <w:p>
      <w:pPr>
        <w:pStyle w:val="Compact"/>
        <w:numPr>
          <w:ilvl w:val="0"/>
          <w:numId w:val="1051"/>
        </w:numPr>
      </w:pPr>
      <w:r>
        <w:rPr>
          <w:b/>
          <w:bCs/>
        </w:rPr>
        <w:t xml:space="preserve">Fig. 8–5</w:t>
      </w:r>
      <w:r>
        <w:t xml:space="preserve"> </w:t>
      </w:r>
      <w:r>
        <w:t xml:space="preserve">— Osteocytes in lacunae (p2 · 8).</w:t>
      </w:r>
    </w:p>
    <w:p>
      <w:pPr>
        <w:pStyle w:val="Compact"/>
        <w:numPr>
          <w:ilvl w:val="0"/>
          <w:numId w:val="1051"/>
        </w:numPr>
      </w:pPr>
      <w:r>
        <w:rPr>
          <w:b/>
          <w:bCs/>
        </w:rPr>
        <w:t xml:space="preserve">Fig. 8–10</w:t>
      </w:r>
      <w:r>
        <w:t xml:space="preserve"> </w:t>
      </w:r>
      <w:r>
        <w:t xml:space="preserve">— Lamellar bone: Perforating canals and interstitial lamellae (p2 · 16).</w:t>
      </w:r>
    </w:p>
    <w:p>
      <w:pPr>
        <w:pStyle w:val="Compact"/>
        <w:numPr>
          <w:ilvl w:val="0"/>
          <w:numId w:val="1051"/>
        </w:numPr>
      </w:pPr>
      <w:r>
        <w:rPr>
          <w:b/>
          <w:bCs/>
        </w:rPr>
        <w:t xml:space="preserve">Fig. 8–14</w:t>
      </w:r>
      <w:r>
        <w:t xml:space="preserve"> </w:t>
      </w:r>
      <w:r>
        <w:t xml:space="preserve">— Osteogenesis of long bones by endochondral ossification (p2 · 20).</w:t>
      </w:r>
    </w:p>
    <w:p>
      <w:pPr>
        <w:pStyle w:val="Compact"/>
        <w:numPr>
          <w:ilvl w:val="0"/>
          <w:numId w:val="1051"/>
        </w:numPr>
      </w:pPr>
      <w:r>
        <w:rPr>
          <w:b/>
          <w:bCs/>
        </w:rPr>
        <w:t xml:space="preserve">Fig. 8–19</w:t>
      </w:r>
      <w:r>
        <w:t xml:space="preserve"> </w:t>
      </w:r>
      <w:r>
        <w:t xml:space="preserve">— Main features of bone fracture repair (p2 · 26).</w:t>
      </w:r>
    </w:p>
    <w:p>
      <w:pPr>
        <w:pStyle w:val="Compact"/>
        <w:numPr>
          <w:ilvl w:val="0"/>
          <w:numId w:val="1051"/>
        </w:numPr>
      </w:pPr>
      <w:r>
        <w:rPr>
          <w:b/>
          <w:bCs/>
        </w:rPr>
        <w:t xml:space="preserve">Fig. 8–23</w:t>
      </w:r>
      <w:r>
        <w:t xml:space="preserve"> </w:t>
      </w:r>
      <w:r>
        <w:t xml:space="preserve">— Articular cartilage (p2 · 31).</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Part 2, pages 37–86 · 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8"/>
        </w:numPr>
      </w:pPr>
      <w:r>
        <w:rPr>
          <w:b/>
          <w:bCs/>
        </w:rPr>
        <w:t xml:space="preserve">Fig. 9–1</w:t>
      </w:r>
      <w:r>
        <w:t xml:space="preserve"> </w:t>
      </w:r>
      <w:r>
        <w:t xml:space="preserve">— General organization of the nervous system (p2 · 37).</w:t>
      </w:r>
    </w:p>
    <w:p>
      <w:pPr>
        <w:pStyle w:val="Compact"/>
        <w:numPr>
          <w:ilvl w:val="0"/>
          <w:numId w:val="1058"/>
        </w:numPr>
      </w:pPr>
      <w:r>
        <w:rPr>
          <w:b/>
          <w:bCs/>
        </w:rPr>
        <w:t xml:space="preserve">Fig. 9–7</w:t>
      </w:r>
      <w:r>
        <w:t xml:space="preserve"> </w:t>
      </w:r>
      <w:r>
        <w:t xml:space="preserve">— Types of synapses (p2 · 48).</w:t>
      </w:r>
    </w:p>
    <w:p>
      <w:pPr>
        <w:pStyle w:val="Compact"/>
        <w:numPr>
          <w:ilvl w:val="0"/>
          <w:numId w:val="1058"/>
        </w:numPr>
      </w:pPr>
      <w:r>
        <w:rPr>
          <w:b/>
          <w:bCs/>
        </w:rPr>
        <w:t xml:space="preserve">Fig. 9–13</w:t>
      </w:r>
      <w:r>
        <w:t xml:space="preserve"> </w:t>
      </w:r>
      <w:r>
        <w:t xml:space="preserve">— Satellite cells around neurons of ganglia in the PNS (p2 · 59).</w:t>
      </w:r>
    </w:p>
    <w:p>
      <w:pPr>
        <w:pStyle w:val="Compact"/>
        <w:numPr>
          <w:ilvl w:val="0"/>
          <w:numId w:val="1058"/>
        </w:numPr>
      </w:pPr>
      <w:r>
        <w:rPr>
          <w:b/>
          <w:bCs/>
        </w:rPr>
        <w:t xml:space="preserve">Fig. 9–18</w:t>
      </w:r>
      <w:r>
        <w:t xml:space="preserve"> </w:t>
      </w:r>
      <w:r>
        <w:t xml:space="preserve">— Spinal cord and meninges (p2 · 66).</w:t>
      </w:r>
    </w:p>
    <w:p>
      <w:pPr>
        <w:pStyle w:val="Compact"/>
        <w:numPr>
          <w:ilvl w:val="0"/>
          <w:numId w:val="1058"/>
        </w:numPr>
      </w:pPr>
      <w:r>
        <w:rPr>
          <w:b/>
          <w:bCs/>
        </w:rPr>
        <w:t xml:space="preserve">Fig. 9–24</w:t>
      </w:r>
      <w:r>
        <w:t xml:space="preserve"> </w:t>
      </w:r>
      <w:r>
        <w:t xml:space="preserve">— Node of Ranvier and endoneurium (p2 · 76).</w:t>
      </w:r>
    </w:p>
    <w:p>
      <w:pPr>
        <w:pStyle w:val="Compact"/>
        <w:numPr>
          <w:ilvl w:val="0"/>
          <w:numId w:val="1058"/>
        </w:numPr>
      </w:pPr>
      <w:r>
        <w:rPr>
          <w:b/>
          <w:bCs/>
        </w:rPr>
        <w:t xml:space="preserve">Fig. 9–30</w:t>
      </w:r>
      <w:r>
        <w:t xml:space="preserve"> </w:t>
      </w:r>
      <w:r>
        <w:t xml:space="preserve">— Regeneration in peripheral nerves (p2 · 82).</w:t>
      </w:r>
    </w:p>
    <w:bookmarkEnd w:id="132"/>
    <w:bookmarkEnd w:id="133"/>
    <w:bookmarkStart w:id="144" w:name="muscle-tissue"/>
    <w:p>
      <w:pPr>
        <w:pStyle w:val="Heading2"/>
      </w:pPr>
      <w:r>
        <w:t xml:space="preserve">10 · Muscle Tissue</w:t>
      </w:r>
    </w:p>
    <w:p>
      <w:pPr>
        <w:pStyle w:val="FirstParagraph"/>
      </w:pPr>
      <w:r>
        <w:rPr>
          <w:b/>
          <w:bCs/>
        </w:rPr>
        <w:t xml:space="preserve">pp. 193–214</w:t>
      </w:r>
      <w:r>
        <w:t xml:space="preserve"> </w:t>
      </w:r>
      <w:r>
        <w:t xml:space="preserve">· Part 2, pages 87–119 · 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4"/>
        </w:numPr>
      </w:pPr>
      <w:r>
        <w:rPr>
          <w:b/>
          <w:bCs/>
        </w:rPr>
        <w:t xml:space="preserve">Fig. 10–1</w:t>
      </w:r>
      <w:r>
        <w:t xml:space="preserve"> </w:t>
      </w:r>
      <w:r>
        <w:t xml:space="preserve">— Three types of muscle (p2 · 87).</w:t>
      </w:r>
    </w:p>
    <w:p>
      <w:pPr>
        <w:pStyle w:val="Compact"/>
        <w:numPr>
          <w:ilvl w:val="0"/>
          <w:numId w:val="1064"/>
        </w:numPr>
      </w:pPr>
      <w:r>
        <w:rPr>
          <w:b/>
          <w:bCs/>
        </w:rPr>
        <w:t xml:space="preserve">Fig. 10–5</w:t>
      </w:r>
      <w:r>
        <w:t xml:space="preserve"> </w:t>
      </w:r>
      <w:r>
        <w:t xml:space="preserve">— Capillaries of skeletal muscle (p2 · 92).</w:t>
      </w:r>
    </w:p>
    <w:p>
      <w:pPr>
        <w:pStyle w:val="Compact"/>
        <w:numPr>
          <w:ilvl w:val="0"/>
          <w:numId w:val="1064"/>
        </w:numPr>
      </w:pPr>
      <w:r>
        <w:rPr>
          <w:b/>
          <w:bCs/>
        </w:rPr>
        <w:t xml:space="preserve">Fig. 10–9</w:t>
      </w:r>
      <w:r>
        <w:t xml:space="preserve"> </w:t>
      </w:r>
      <w:r>
        <w:t xml:space="preserve">— Organization of a skeletal muscle fiber (p2 · 98).</w:t>
      </w:r>
    </w:p>
    <w:p>
      <w:pPr>
        <w:pStyle w:val="Compact"/>
        <w:numPr>
          <w:ilvl w:val="0"/>
          <w:numId w:val="1064"/>
        </w:numPr>
      </w:pPr>
      <w:r>
        <w:rPr>
          <w:b/>
          <w:bCs/>
        </w:rPr>
        <w:t xml:space="preserve">Fig. 10–12</w:t>
      </w:r>
      <w:r>
        <w:t xml:space="preserve"> </w:t>
      </w:r>
      <w:r>
        <w:t xml:space="preserve">— Sliding filaments and sarcomere shortening in contraction (p2 · 101).</w:t>
      </w:r>
    </w:p>
    <w:p>
      <w:pPr>
        <w:pStyle w:val="Compact"/>
        <w:numPr>
          <w:ilvl w:val="0"/>
          <w:numId w:val="1064"/>
        </w:numPr>
      </w:pPr>
      <w:r>
        <w:rPr>
          <w:b/>
          <w:bCs/>
        </w:rPr>
        <w:t xml:space="preserve">Fig. 10–16</w:t>
      </w:r>
      <w:r>
        <w:t xml:space="preserve"> </w:t>
      </w:r>
      <w:r>
        <w:t xml:space="preserve">— Cardiac muscle: Intercalated discs (p2 · 109).</w:t>
      </w:r>
    </w:p>
    <w:p>
      <w:pPr>
        <w:pStyle w:val="Compact"/>
        <w:numPr>
          <w:ilvl w:val="0"/>
          <w:numId w:val="1064"/>
        </w:numPr>
      </w:pPr>
      <w:r>
        <w:rPr>
          <w:b/>
          <w:bCs/>
        </w:rPr>
        <w:t xml:space="preserve">Fig. 10–20</w:t>
      </w:r>
      <w:r>
        <w:t xml:space="preserve"> </w:t>
      </w:r>
      <w:r>
        <w:t xml:space="preserve">— Smooth muscle contraction (p2 · 115).</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pp. 215–236</w:t>
      </w:r>
      <w:r>
        <w:t xml:space="preserve"> </w:t>
      </w:r>
      <w:r>
        <w:t xml:space="preserve">· Part 2, pages 120–155 · 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9"/>
        </w:numPr>
      </w:pPr>
      <w:r>
        <w:rPr>
          <w:b/>
          <w:bCs/>
        </w:rPr>
        <w:t xml:space="preserve">Fig. 11–1</w:t>
      </w:r>
      <w:r>
        <w:t xml:space="preserve"> </w:t>
      </w:r>
      <w:r>
        <w:t xml:space="preserve">— Cardiovascular system (p2 · 120).</w:t>
      </w:r>
    </w:p>
    <w:p>
      <w:pPr>
        <w:pStyle w:val="Compact"/>
        <w:numPr>
          <w:ilvl w:val="0"/>
          <w:numId w:val="1069"/>
        </w:numPr>
      </w:pPr>
      <w:r>
        <w:rPr>
          <w:b/>
          <w:bCs/>
        </w:rPr>
        <w:t xml:space="preserve">Fig. 11–6</w:t>
      </w:r>
      <w:r>
        <w:t xml:space="preserve"> </w:t>
      </w:r>
      <w:r>
        <w:t xml:space="preserve">— Walls of arteries and veins (p2 · 127).</w:t>
      </w:r>
    </w:p>
    <w:p>
      <w:pPr>
        <w:pStyle w:val="Compact"/>
        <w:numPr>
          <w:ilvl w:val="0"/>
          <w:numId w:val="1069"/>
        </w:numPr>
      </w:pPr>
      <w:r>
        <w:rPr>
          <w:b/>
          <w:bCs/>
        </w:rPr>
        <w:t xml:space="preserve">Fig. 11–11</w:t>
      </w:r>
      <w:r>
        <w:t xml:space="preserve"> </w:t>
      </w:r>
      <w:r>
        <w:t xml:space="preserve">— Muscular artery (p2 · 135).</w:t>
      </w:r>
    </w:p>
    <w:p>
      <w:pPr>
        <w:pStyle w:val="Compact"/>
        <w:numPr>
          <w:ilvl w:val="0"/>
          <w:numId w:val="1069"/>
        </w:numPr>
      </w:pPr>
      <w:r>
        <w:rPr>
          <w:b/>
          <w:bCs/>
        </w:rPr>
        <w:t xml:space="preserve">Fig. 11–15</w:t>
      </w:r>
      <w:r>
        <w:t xml:space="preserve"> </w:t>
      </w:r>
      <w:r>
        <w:t xml:space="preserve">— Comparison of the simple microvascular pathway with arteriovenous shunts and portal… (p2 · 141).</w:t>
      </w:r>
    </w:p>
    <w:p>
      <w:pPr>
        <w:pStyle w:val="Compact"/>
        <w:numPr>
          <w:ilvl w:val="0"/>
          <w:numId w:val="1069"/>
        </w:numPr>
      </w:pPr>
      <w:r>
        <w:rPr>
          <w:b/>
          <w:bCs/>
        </w:rPr>
        <w:t xml:space="preserve">Fig. 11–20</w:t>
      </w:r>
      <w:r>
        <w:t xml:space="preserve"> </w:t>
      </w:r>
      <w:r>
        <w:t xml:space="preserve">— Sinusoidal capillary (p2 · 145).</w:t>
      </w:r>
    </w:p>
    <w:p>
      <w:pPr>
        <w:pStyle w:val="Compact"/>
        <w:numPr>
          <w:ilvl w:val="0"/>
          <w:numId w:val="1069"/>
        </w:numPr>
      </w:pPr>
      <w:r>
        <w:rPr>
          <w:b/>
          <w:bCs/>
        </w:rPr>
        <w:t xml:space="preserve">Fig. 11–25</w:t>
      </w:r>
      <w:r>
        <w:t xml:space="preserve"> </w:t>
      </w:r>
      <w:r>
        <w:t xml:space="preserve">— Lymphatic vessels and valve (p2 · 151).</w:t>
      </w:r>
    </w:p>
    <w:bookmarkEnd w:id="155"/>
    <w:bookmarkEnd w:id="156"/>
    <w:bookmarkStart w:id="165" w:name="blood"/>
    <w:p>
      <w:pPr>
        <w:pStyle w:val="Heading2"/>
      </w:pPr>
      <w:r>
        <w:t xml:space="preserve">12 · Blood</w:t>
      </w:r>
    </w:p>
    <w:p>
      <w:pPr>
        <w:pStyle w:val="FirstParagraph"/>
      </w:pPr>
      <w:r>
        <w:rPr>
          <w:b/>
          <w:bCs/>
        </w:rPr>
        <w:t xml:space="preserve">pp. 237–253</w:t>
      </w:r>
      <w:r>
        <w:t xml:space="preserve"> </w:t>
      </w:r>
      <w:r>
        <w:t xml:space="preserve">· Part 2, pages 156–180 · 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(p2 · 158 — a page with no extractable text, read here from the page image)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three steps of hemostasis?</w:t>
      </w:r>
      <w:r>
        <w:t xml:space="preserve"> </w:t>
      </w:r>
      <w:r>
        <w:t xml:space="preserve">— Vascular spasm, platelet plug formation, and coagulation (fibrin clot).</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4"/>
        </w:numPr>
      </w:pPr>
      <w:r>
        <w:rPr>
          <w:b/>
          <w:bCs/>
        </w:rPr>
        <w:t xml:space="preserve">Fig. 12–1</w:t>
      </w:r>
      <w:r>
        <w:t xml:space="preserve"> </w:t>
      </w:r>
      <w:r>
        <w:t xml:space="preserve">— Composition of whole blood (p2 · 156).</w:t>
      </w:r>
    </w:p>
    <w:p>
      <w:pPr>
        <w:pStyle w:val="Compact"/>
        <w:numPr>
          <w:ilvl w:val="0"/>
          <w:numId w:val="1074"/>
        </w:numPr>
      </w:pPr>
      <w:r>
        <w:rPr>
          <w:b/>
          <w:bCs/>
        </w:rPr>
        <w:t xml:space="preserve">Fig. 12–4</w:t>
      </w:r>
      <w:r>
        <w:t xml:space="preserve"> </w:t>
      </w:r>
      <w:r>
        <w:t xml:space="preserve">— Normal human erythrocytes (p2 · 160).</w:t>
      </w:r>
    </w:p>
    <w:p>
      <w:pPr>
        <w:pStyle w:val="Compact"/>
        <w:numPr>
          <w:ilvl w:val="0"/>
          <w:numId w:val="1074"/>
        </w:numPr>
      </w:pPr>
      <w:r>
        <w:rPr>
          <w:b/>
          <w:bCs/>
        </w:rPr>
        <w:t xml:space="preserve">Fig. 12–6</w:t>
      </w:r>
      <w:r>
        <w:t xml:space="preserve"> </w:t>
      </w:r>
      <w:r>
        <w:t xml:space="preserve">— Diagram of events involving leukocytes in a postcapillary venule at sites of inflammation (p2 · 164).</w:t>
      </w:r>
    </w:p>
    <w:p>
      <w:pPr>
        <w:pStyle w:val="Compact"/>
        <w:numPr>
          <w:ilvl w:val="0"/>
          <w:numId w:val="1074"/>
        </w:numPr>
      </w:pPr>
      <w:r>
        <w:rPr>
          <w:b/>
          <w:bCs/>
        </w:rPr>
        <w:t xml:space="preserve">Fig. 12–9</w:t>
      </w:r>
      <w:r>
        <w:t xml:space="preserve"> </w:t>
      </w:r>
      <w:r>
        <w:t xml:space="preserve">— Eosinophils (p2 · 168).</w:t>
      </w:r>
    </w:p>
    <w:p>
      <w:pPr>
        <w:pStyle w:val="Compact"/>
        <w:numPr>
          <w:ilvl w:val="0"/>
          <w:numId w:val="1074"/>
        </w:numPr>
      </w:pPr>
      <w:r>
        <w:rPr>
          <w:b/>
          <w:bCs/>
        </w:rPr>
        <w:t xml:space="preserve">Fig. 12–11</w:t>
      </w:r>
      <w:r>
        <w:t xml:space="preserve"> </w:t>
      </w:r>
      <w:r>
        <w:t xml:space="preserve">— Lymphocytes (p2 · 171).</w:t>
      </w:r>
    </w:p>
    <w:p>
      <w:pPr>
        <w:pStyle w:val="Compact"/>
        <w:numPr>
          <w:ilvl w:val="0"/>
          <w:numId w:val="1074"/>
        </w:numPr>
      </w:pPr>
      <w:r>
        <w:rPr>
          <w:b/>
          <w:bCs/>
        </w:rPr>
        <w:t xml:space="preserve">Fig. 12–14</w:t>
      </w:r>
      <w:r>
        <w:t xml:space="preserve"> </w:t>
      </w:r>
      <w:r>
        <w:t xml:space="preserve">— Platelet aggregation, degranulation, and fibrin clot formation (p2 · 176).</w:t>
      </w:r>
    </w:p>
    <w:bookmarkEnd w:id="164"/>
    <w:bookmarkEnd w:id="165"/>
    <w:bookmarkStart w:id="179" w:name="hemopoiesis"/>
    <w:p>
      <w:pPr>
        <w:pStyle w:val="Heading2"/>
      </w:pPr>
      <w:r>
        <w:t xml:space="preserve">13 · Hemopoiesis</w:t>
      </w:r>
    </w:p>
    <w:p>
      <w:pPr>
        <w:pStyle w:val="FirstParagraph"/>
      </w:pPr>
      <w:r>
        <w:rPr>
          <w:b/>
          <w:bCs/>
        </w:rPr>
        <w:t xml:space="preserve">pp. 254–266</w:t>
      </w:r>
      <w:r>
        <w:t xml:space="preserve"> </w:t>
      </w:r>
      <w:r>
        <w:t xml:space="preserve">· Part 2, pages 181–198 · 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8"/>
        </w:numPr>
      </w:pPr>
      <w:r>
        <w:rPr>
          <w:b/>
          <w:bCs/>
        </w:rPr>
        <w:t xml:space="preserve">Fig. 13–1</w:t>
      </w:r>
      <w:r>
        <w:t xml:space="preserve"> </w:t>
      </w:r>
      <w:r>
        <w:t xml:space="preserve">— Shifting locations of hemopoiesis during development and aging (p2 · 181).</w:t>
      </w:r>
    </w:p>
    <w:p>
      <w:pPr>
        <w:pStyle w:val="Compact"/>
        <w:numPr>
          <w:ilvl w:val="0"/>
          <w:numId w:val="1078"/>
        </w:numPr>
      </w:pPr>
      <w:r>
        <w:rPr>
          <w:b/>
          <w:bCs/>
        </w:rPr>
        <w:t xml:space="preserve">Fig. 13–4</w:t>
      </w:r>
      <w:r>
        <w:t xml:space="preserve"> </w:t>
      </w:r>
      <w:r>
        <w:t xml:space="preserve">— Red bone marrow (active in hemopoiesis) (p2 · 185).</w:t>
      </w:r>
    </w:p>
    <w:p>
      <w:pPr>
        <w:pStyle w:val="Compact"/>
        <w:numPr>
          <w:ilvl w:val="0"/>
          <w:numId w:val="1078"/>
        </w:numPr>
      </w:pPr>
      <w:r>
        <w:rPr>
          <w:b/>
          <w:bCs/>
        </w:rPr>
        <w:t xml:space="preserve">Fig. 13–6</w:t>
      </w:r>
      <w:r>
        <w:t xml:space="preserve"> </w:t>
      </w:r>
      <w:r>
        <w:t xml:space="preserve">— Summary of erythrocyte maturation (p2 · 187).</w:t>
      </w:r>
    </w:p>
    <w:p>
      <w:pPr>
        <w:pStyle w:val="Compact"/>
        <w:numPr>
          <w:ilvl w:val="0"/>
          <w:numId w:val="1078"/>
        </w:numPr>
      </w:pPr>
      <w:r>
        <w:rPr>
          <w:b/>
          <w:bCs/>
        </w:rPr>
        <w:t xml:space="preserve">Fig. 13–9</w:t>
      </w:r>
      <w:r>
        <w:t xml:space="preserve"> </w:t>
      </w:r>
      <w:r>
        <w:t xml:space="preserve">— Developing erythrocytes and granulocytes in marrow (p2 · 190).</w:t>
      </w:r>
    </w:p>
    <w:p>
      <w:pPr>
        <w:pStyle w:val="Compact"/>
        <w:numPr>
          <w:ilvl w:val="0"/>
          <w:numId w:val="1078"/>
        </w:numPr>
      </w:pPr>
      <w:r>
        <w:rPr>
          <w:b/>
          <w:bCs/>
        </w:rPr>
        <w:t xml:space="preserve">Fig. 13–11</w:t>
      </w:r>
      <w:r>
        <w:t xml:space="preserve"> </w:t>
      </w:r>
      <w:r>
        <w:t xml:space="preserve">— Neutrophilic myelocyte (p2 · 192).</w:t>
      </w:r>
    </w:p>
    <w:p>
      <w:pPr>
        <w:pStyle w:val="Compact"/>
        <w:numPr>
          <w:ilvl w:val="0"/>
          <w:numId w:val="1078"/>
        </w:numPr>
      </w:pPr>
      <w:r>
        <w:rPr>
          <w:b/>
          <w:bCs/>
        </w:rPr>
        <w:t xml:space="preserve">Fig. 13–14</w:t>
      </w:r>
      <w:r>
        <w:t xml:space="preserve"> </w:t>
      </w:r>
      <w:r>
        <w:t xml:space="preserve">— Megakaryocyte ultrastructure (p2 · 196).</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Part 2, pages 199–217 + part 3, pages 1–22 · 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Iron-free heme binds</w:t>
      </w:r>
      <w:r>
        <w:t xml:space="preserve"> </w:t>
      </w:r>
      <w:r>
        <w:rPr>
          <w:b/>
          <w:bCs/>
        </w:rPr>
        <w:t xml:space="preserve">hemopexin</w:t>
      </w:r>
      <w:r>
        <w:t xml:space="preserve"> </w:t>
      </w:r>
      <w:r>
        <w:t xml:space="preserve">or is converted to</w:t>
      </w:r>
      <w:r>
        <w:t xml:space="preserve"> </w:t>
      </w:r>
      <w:r>
        <w:rPr>
          <w:b/>
          <w:bCs/>
        </w:rPr>
        <w:t xml:space="preserve">bilirubin</w:t>
      </w:r>
      <w:r>
        <w:t xml:space="preserve"> </w:t>
      </w:r>
      <w:r>
        <w:t xml:space="preserve">and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86"/>
        </w:numPr>
      </w:pPr>
      <w:r>
        <w:rPr>
          <w:b/>
          <w:bCs/>
        </w:rPr>
        <w:t xml:space="preserve">Fig. 14–1</w:t>
      </w:r>
      <w:r>
        <w:t xml:space="preserve"> </w:t>
      </w:r>
      <w:r>
        <w:t xml:space="preserve">— Lymphoid organs and main paths of lymphatic vessels (p2 · 199).</w:t>
      </w:r>
    </w:p>
    <w:p>
      <w:pPr>
        <w:pStyle w:val="Compact"/>
        <w:numPr>
          <w:ilvl w:val="0"/>
          <w:numId w:val="1086"/>
        </w:numPr>
      </w:pPr>
      <w:r>
        <w:rPr>
          <w:b/>
          <w:bCs/>
        </w:rPr>
        <w:t xml:space="preserve">Fig. 14–6</w:t>
      </w:r>
      <w:r>
        <w:t xml:space="preserve"> </w:t>
      </w:r>
      <w:r>
        <w:t xml:space="preserve">— Activation of lymphocytes (p2 · 209).</w:t>
      </w:r>
    </w:p>
    <w:p>
      <w:pPr>
        <w:pStyle w:val="Compact"/>
        <w:numPr>
          <w:ilvl w:val="0"/>
          <w:numId w:val="1086"/>
        </w:numPr>
      </w:pPr>
      <w:r>
        <w:rPr>
          <w:b/>
          <w:bCs/>
        </w:rPr>
        <w:t xml:space="preserve">Fig. 14–11</w:t>
      </w:r>
      <w:r>
        <w:t xml:space="preserve"> </w:t>
      </w:r>
      <w:r>
        <w:t xml:space="preserve">— Thymic selection of functional but not self-reactive T cells (p2 · 216).</w:t>
      </w:r>
    </w:p>
    <w:p>
      <w:pPr>
        <w:pStyle w:val="Compact"/>
        <w:numPr>
          <w:ilvl w:val="0"/>
          <w:numId w:val="1086"/>
        </w:numPr>
      </w:pPr>
      <w:r>
        <w:rPr>
          <w:b/>
          <w:bCs/>
        </w:rPr>
        <w:t xml:space="preserve">Fig. 14–16</w:t>
      </w:r>
      <w:r>
        <w:t xml:space="preserve"> </w:t>
      </w:r>
      <w:r>
        <w:t xml:space="preserve">— Regions of a lymph node (p3 · 9).</w:t>
      </w:r>
    </w:p>
    <w:p>
      <w:pPr>
        <w:pStyle w:val="Compact"/>
        <w:numPr>
          <w:ilvl w:val="0"/>
          <w:numId w:val="1086"/>
        </w:numPr>
      </w:pPr>
      <w:r>
        <w:rPr>
          <w:b/>
          <w:bCs/>
        </w:rPr>
        <w:t xml:space="preserve">Fig. 14–21</w:t>
      </w:r>
      <w:r>
        <w:t xml:space="preserve"> </w:t>
      </w:r>
      <w:r>
        <w:t xml:space="preserve">— Spleen (p3 · 13).</w:t>
      </w:r>
    </w:p>
    <w:p>
      <w:pPr>
        <w:pStyle w:val="Compact"/>
        <w:numPr>
          <w:ilvl w:val="0"/>
          <w:numId w:val="1086"/>
        </w:numPr>
      </w:pPr>
      <w:r>
        <w:rPr>
          <w:b/>
          <w:bCs/>
        </w:rPr>
        <w:t xml:space="preserve">Fig. 14–26</w:t>
      </w:r>
      <w:r>
        <w:t xml:space="preserve"> </w:t>
      </w:r>
      <w:r>
        <w:t xml:space="preserve">— Structure and function of splenic sinusoids (p3 · 17).</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pp. 295–328</w:t>
      </w:r>
      <w:r>
        <w:t xml:space="preserve"> </w:t>
      </w:r>
      <w:r>
        <w:t xml:space="preserve">· Part 3, pages 23–70 · 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make it exam-proof:</w:t>
      </w:r>
    </w:p>
    <w:p>
      <w:pPr>
        <w:pStyle w:val="Compact"/>
        <w:numPr>
          <w:ilvl w:val="0"/>
          <w:numId w:val="1088"/>
        </w:numPr>
      </w:pPr>
      <w:r>
        <w:t xml:space="preserve">The</w:t>
      </w:r>
      <w:r>
        <w:t xml:space="preserve"> </w:t>
      </w:r>
      <w:r>
        <w:rPr>
          <w:b/>
          <w:bCs/>
        </w:rPr>
        <w:t xml:space="preserve">mucosa always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2-µm-wide taste pore</w:t>
      </w:r>
      <w:r>
        <w:t xml:space="preserv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w:t>
      </w:r>
      <w:r>
        <w:t xml:space="preserve"> </w:t>
      </w:r>
      <w:r>
        <w:rPr>
          <w:b/>
          <w:bCs/>
        </w:rPr>
        <w:t xml:space="preserve">five functional cell types</w:t>
      </w:r>
      <w:r>
        <w:t xml:space="preserve"> </w:t>
      </w:r>
      <w:r>
        <w:t xml:space="preserve">— surface mucous, mucous neck, parietal, chief, and enteroendocrine — plus pluripotent stem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Less alkaline mucus</w:t>
            </w:r>
          </w:p>
        </w:tc>
        <w:tc>
          <w:tcPr/>
          <w:p>
            <w:pPr>
              <w:pStyle w:val="Compact"/>
            </w:pPr>
            <w:r>
              <w:t xml:space="preserve">Immature precursors that migrate up into the pits</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sparse or absent (they are characteristic of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w:t>
      </w:r>
      <w:r>
        <w:rPr>
          <w:b/>
          <w:bCs/>
        </w:rPr>
        <w:t xml:space="preserve">10–12 cm</w:t>
      </w:r>
      <w:r>
        <w:t xml:space="preserve">) continues as the</w:t>
      </w:r>
      <w:r>
        <w:t xml:space="preserve"> </w:t>
      </w:r>
      <w:r>
        <w:rPr>
          <w:b/>
          <w:bCs/>
        </w:rPr>
        <w:t xml:space="preserve">anal canal</w:t>
      </w:r>
      <w:r>
        <w:t xml:space="preserve"> </w:t>
      </w:r>
      <w:r>
        <w:t xml:space="preserve">(</w:t>
      </w:r>
      <w:r>
        <w:rPr>
          <w:b/>
          <w:bCs/>
        </w:rPr>
        <w:t xml:space="preserve">3–4 cm</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Mucosa always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93"/>
        </w:numPr>
      </w:pPr>
      <w:r>
        <w:rPr>
          <w:b/>
          <w:bCs/>
        </w:rPr>
        <w:t xml:space="preserve">Fig. 15–1</w:t>
      </w:r>
      <w:r>
        <w:t xml:space="preserve"> </w:t>
      </w:r>
      <w:r>
        <w:t xml:space="preserve">— Digestive system (p3 · 23).</w:t>
      </w:r>
    </w:p>
    <w:p>
      <w:pPr>
        <w:pStyle w:val="Compact"/>
        <w:numPr>
          <w:ilvl w:val="0"/>
          <w:numId w:val="1093"/>
        </w:numPr>
      </w:pPr>
      <w:r>
        <w:rPr>
          <w:b/>
          <w:bCs/>
        </w:rPr>
        <w:t xml:space="preserve">Fig. 15–8</w:t>
      </w:r>
      <w:r>
        <w:t xml:space="preserve"> </w:t>
      </w:r>
      <w:r>
        <w:t xml:space="preserve">— Ultrastructure of dentinal tubule (p3 · 32).</w:t>
      </w:r>
    </w:p>
    <w:p>
      <w:pPr>
        <w:pStyle w:val="Compact"/>
        <w:numPr>
          <w:ilvl w:val="0"/>
          <w:numId w:val="1093"/>
        </w:numPr>
      </w:pPr>
      <w:r>
        <w:rPr>
          <w:b/>
          <w:bCs/>
        </w:rPr>
        <w:t xml:space="preserve">Fig. 15–15</w:t>
      </w:r>
      <w:r>
        <w:t xml:space="preserve"> </w:t>
      </w:r>
      <w:r>
        <w:t xml:space="preserve">— Wall of the stomach with rugae (p3 · 39).</w:t>
      </w:r>
    </w:p>
    <w:p>
      <w:pPr>
        <w:pStyle w:val="Compact"/>
        <w:numPr>
          <w:ilvl w:val="0"/>
          <w:numId w:val="1093"/>
        </w:numPr>
      </w:pPr>
      <w:r>
        <w:rPr>
          <w:b/>
          <w:bCs/>
        </w:rPr>
        <w:t xml:space="preserve">Fig. 15–21</w:t>
      </w:r>
      <w:r>
        <w:t xml:space="preserve"> </w:t>
      </w:r>
      <w:r>
        <w:t xml:space="preserve">— Pyloric glands (p3 · 49).</w:t>
      </w:r>
    </w:p>
    <w:p>
      <w:pPr>
        <w:pStyle w:val="Compact"/>
        <w:numPr>
          <w:ilvl w:val="0"/>
          <w:numId w:val="1093"/>
        </w:numPr>
      </w:pPr>
      <w:r>
        <w:rPr>
          <w:b/>
          <w:bCs/>
        </w:rPr>
        <w:t xml:space="preserve">Fig. 15–28</w:t>
      </w:r>
      <w:r>
        <w:t xml:space="preserve"> </w:t>
      </w:r>
      <w:r>
        <w:t xml:space="preserve">— Microvasculature, lymphatics, and muscle in villi (p3 · 59).</w:t>
      </w:r>
    </w:p>
    <w:p>
      <w:pPr>
        <w:pStyle w:val="Compact"/>
        <w:numPr>
          <w:ilvl w:val="0"/>
          <w:numId w:val="1093"/>
        </w:numPr>
      </w:pPr>
      <w:r>
        <w:rPr>
          <w:b/>
          <w:bCs/>
        </w:rPr>
        <w:t xml:space="preserve">Fig. 15–34</w:t>
      </w:r>
      <w:r>
        <w:t xml:space="preserve"> </w:t>
      </w:r>
      <w:r>
        <w:t xml:space="preserve">— Mucosa of the rectoanal junction (p3 · 65).</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Part 3, pages 71–99 · 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0"/>
        </w:numPr>
      </w:pPr>
      <w:r>
        <w:rPr>
          <w:b/>
          <w:bCs/>
        </w:rPr>
        <w:t xml:space="preserve">Fig. 16–1</w:t>
      </w:r>
      <w:r>
        <w:t xml:space="preserve"> </w:t>
      </w:r>
      <w:r>
        <w:t xml:space="preserve">— Major salivary glands (p3 · 71).</w:t>
      </w:r>
    </w:p>
    <w:p>
      <w:pPr>
        <w:pStyle w:val="Compact"/>
        <w:numPr>
          <w:ilvl w:val="0"/>
          <w:numId w:val="1100"/>
        </w:numPr>
      </w:pPr>
      <w:r>
        <w:rPr>
          <w:b/>
          <w:bCs/>
        </w:rPr>
        <w:t xml:space="preserve">Fig. 16–5</w:t>
      </w:r>
      <w:r>
        <w:t xml:space="preserve"> </w:t>
      </w:r>
      <w:r>
        <w:t xml:space="preserve">— Submandibular gland and sublingual gland (p3 · 75).</w:t>
      </w:r>
    </w:p>
    <w:p>
      <w:pPr>
        <w:pStyle w:val="Compact"/>
        <w:numPr>
          <w:ilvl w:val="0"/>
          <w:numId w:val="1100"/>
        </w:numPr>
      </w:pPr>
      <w:r>
        <w:rPr>
          <w:b/>
          <w:bCs/>
        </w:rPr>
        <w:t xml:space="preserve">Fig. 16–9</w:t>
      </w:r>
      <w:r>
        <w:t xml:space="preserve"> </w:t>
      </w:r>
      <w:r>
        <w:t xml:space="preserve">— Pancreatic acini (p3 · 79).</w:t>
      </w:r>
    </w:p>
    <w:p>
      <w:pPr>
        <w:pStyle w:val="Compact"/>
        <w:numPr>
          <w:ilvl w:val="0"/>
          <w:numId w:val="1100"/>
        </w:numPr>
      </w:pPr>
      <w:r>
        <w:rPr>
          <w:b/>
          <w:bCs/>
        </w:rPr>
        <w:t xml:space="preserve">Fig. 16–12</w:t>
      </w:r>
      <w:r>
        <w:t xml:space="preserve"> </w:t>
      </w:r>
      <w:r>
        <w:t xml:space="preserve">— Hepatic lobule (p3 · 85).</w:t>
      </w:r>
    </w:p>
    <w:p>
      <w:pPr>
        <w:pStyle w:val="Compact"/>
        <w:numPr>
          <w:ilvl w:val="0"/>
          <w:numId w:val="1100"/>
        </w:numPr>
      </w:pPr>
      <w:r>
        <w:rPr>
          <w:b/>
          <w:bCs/>
        </w:rPr>
        <w:t xml:space="preserve">Fig. 16–16</w:t>
      </w:r>
      <w:r>
        <w:t xml:space="preserve"> </w:t>
      </w:r>
      <w:r>
        <w:t xml:space="preserve">— Hepatocyte ultrastructure and major functions (p3 · 89).</w:t>
      </w:r>
    </w:p>
    <w:p>
      <w:pPr>
        <w:pStyle w:val="Compact"/>
        <w:numPr>
          <w:ilvl w:val="0"/>
          <w:numId w:val="1100"/>
        </w:numPr>
      </w:pPr>
      <w:r>
        <w:rPr>
          <w:b/>
          <w:bCs/>
        </w:rPr>
        <w:t xml:space="preserve">Fig. 16–20</w:t>
      </w:r>
      <w:r>
        <w:t xml:space="preserve"> </w:t>
      </w:r>
      <w:r>
        <w:t xml:space="preserve">— Gallbladder (p3 · 95).</w:t>
      </w:r>
    </w:p>
    <w:bookmarkEnd w:id="220"/>
    <w:bookmarkEnd w:id="221"/>
    <w:bookmarkStart w:id="236" w:name="the-respiratory-system"/>
    <w:p>
      <w:pPr>
        <w:pStyle w:val="Heading2"/>
      </w:pPr>
      <w:r>
        <w:t xml:space="preserve">17 · The Respiratory System</w:t>
      </w:r>
    </w:p>
    <w:p>
      <w:pPr>
        <w:pStyle w:val="FirstParagraph"/>
      </w:pPr>
      <w:r>
        <w:rPr>
          <w:b/>
          <w:bCs/>
        </w:rPr>
        <w:t xml:space="preserve">pp. 349–370</w:t>
      </w:r>
      <w:r>
        <w:t xml:space="preserve"> </w:t>
      </w:r>
      <w:r>
        <w:t xml:space="preserve">· Part 3, pages 100–131 · 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with about a dozen C-shaped rings.</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9"/>
        </w:numPr>
      </w:pPr>
      <w:r>
        <w:rPr>
          <w:b/>
          <w:bCs/>
        </w:rPr>
        <w:t xml:space="preserve">Fig. 17–1</w:t>
      </w:r>
      <w:r>
        <w:t xml:space="preserve"> </w:t>
      </w:r>
      <w:r>
        <w:t xml:space="preserve">— Anatomy of the respiratory system (p3 · 100).</w:t>
      </w:r>
    </w:p>
    <w:p>
      <w:pPr>
        <w:pStyle w:val="Compact"/>
        <w:numPr>
          <w:ilvl w:val="0"/>
          <w:numId w:val="1109"/>
        </w:numPr>
      </w:pPr>
      <w:r>
        <w:rPr>
          <w:b/>
          <w:bCs/>
        </w:rPr>
        <w:t xml:space="preserve">Fig. 17–4</w:t>
      </w:r>
      <w:r>
        <w:t xml:space="preserve"> </w:t>
      </w:r>
      <w:r>
        <w:t xml:space="preserve">— Larynx (p3 · 105).</w:t>
      </w:r>
    </w:p>
    <w:p>
      <w:pPr>
        <w:pStyle w:val="Compact"/>
        <w:numPr>
          <w:ilvl w:val="0"/>
          <w:numId w:val="1109"/>
        </w:numPr>
      </w:pPr>
      <w:r>
        <w:rPr>
          <w:b/>
          <w:bCs/>
        </w:rPr>
        <w:t xml:space="preserve">Fig. 17–8</w:t>
      </w:r>
      <w:r>
        <w:t xml:space="preserve"> </w:t>
      </w:r>
      <w:r>
        <w:t xml:space="preserve">— Bronchial wall (p3 · 112).</w:t>
      </w:r>
    </w:p>
    <w:p>
      <w:pPr>
        <w:pStyle w:val="Compact"/>
        <w:numPr>
          <w:ilvl w:val="0"/>
          <w:numId w:val="1109"/>
        </w:numPr>
      </w:pPr>
      <w:r>
        <w:rPr>
          <w:b/>
          <w:bCs/>
        </w:rPr>
        <w:t xml:space="preserve">Fig. 17–11</w:t>
      </w:r>
      <w:r>
        <w:t xml:space="preserve"> </w:t>
      </w:r>
      <w:r>
        <w:t xml:space="preserve">— Pulmonary circulation, terminal and respiratory bronchioles, and alveoli (p3 · 116).</w:t>
      </w:r>
    </w:p>
    <w:p>
      <w:pPr>
        <w:pStyle w:val="Compact"/>
        <w:numPr>
          <w:ilvl w:val="0"/>
          <w:numId w:val="1109"/>
        </w:numPr>
      </w:pPr>
      <w:r>
        <w:rPr>
          <w:b/>
          <w:bCs/>
        </w:rPr>
        <w:t xml:space="preserve">Fig. 17–15</w:t>
      </w:r>
      <w:r>
        <w:t xml:space="preserve"> </w:t>
      </w:r>
      <w:r>
        <w:t xml:space="preserve">— Ultrastructure of the blood-air barrier (p3 · 120).</w:t>
      </w:r>
    </w:p>
    <w:p>
      <w:pPr>
        <w:pStyle w:val="Compact"/>
        <w:numPr>
          <w:ilvl w:val="0"/>
          <w:numId w:val="1109"/>
        </w:numPr>
      </w:pPr>
      <w:r>
        <w:rPr>
          <w:b/>
          <w:bCs/>
        </w:rPr>
        <w:t xml:space="preserve">Fig. 17–18</w:t>
      </w:r>
      <w:r>
        <w:t xml:space="preserve"> </w:t>
      </w:r>
      <w:r>
        <w:t xml:space="preserve">— Pleura (p3 · 126).</w:t>
      </w:r>
    </w:p>
    <w:bookmarkEnd w:id="235"/>
    <w:bookmarkEnd w:id="236"/>
    <w:bookmarkStart w:id="251" w:name="skin"/>
    <w:p>
      <w:pPr>
        <w:pStyle w:val="Heading2"/>
      </w:pPr>
      <w:r>
        <w:t xml:space="preserve">18 · Skin</w:t>
      </w:r>
    </w:p>
    <w:p>
      <w:pPr>
        <w:pStyle w:val="FirstParagraph"/>
      </w:pPr>
      <w:r>
        <w:rPr>
          <w:b/>
          <w:bCs/>
        </w:rPr>
        <w:t xml:space="preserve">pp. 371–392</w:t>
      </w:r>
      <w:r>
        <w:t xml:space="preserve"> </w:t>
      </w:r>
      <w:r>
        <w:t xml:space="preserve">· Part 3, pages 132–160 · 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Stretch (tension) and twisting</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Growth is about</w:t>
      </w:r>
      <w:r>
        <w:t xml:space="preserve"> </w:t>
      </w:r>
      <w:r>
        <w:rPr>
          <w:b/>
          <w:bCs/>
        </w:rPr>
        <w:t xml:space="preserve">3 mm/month</w:t>
      </w:r>
      <w:r>
        <w:t xml:space="preserve"> </w:t>
      </w:r>
      <w:r>
        <w:t xml:space="preserve">for fingernails and</w:t>
      </w:r>
      <w:r>
        <w:t xml:space="preserve"> </w:t>
      </w:r>
      <w:r>
        <w:rPr>
          <w:b/>
          <w:bCs/>
        </w:rPr>
        <w:t xml:space="preserve">1 mm/month</w:t>
      </w:r>
      <w:r>
        <w:t xml:space="preserve"> </w:t>
      </w:r>
      <w:r>
        <w:t xml:space="preserve">for toenails.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15"/>
        </w:numPr>
      </w:pPr>
      <w:r>
        <w:rPr>
          <w:b/>
          <w:bCs/>
        </w:rPr>
        <w:t xml:space="preserve">Fig. 18–1</w:t>
      </w:r>
      <w:r>
        <w:t xml:space="preserve"> </w:t>
      </w:r>
      <w:r>
        <w:t xml:space="preserve">— Layers and appendages of skin (p3 · 133).</w:t>
      </w:r>
    </w:p>
    <w:p>
      <w:pPr>
        <w:pStyle w:val="Compact"/>
        <w:numPr>
          <w:ilvl w:val="0"/>
          <w:numId w:val="1115"/>
        </w:numPr>
      </w:pPr>
      <w:r>
        <w:rPr>
          <w:b/>
          <w:bCs/>
        </w:rPr>
        <w:t xml:space="preserve">Fig. 18–5</w:t>
      </w:r>
      <w:r>
        <w:t xml:space="preserve"> </w:t>
      </w:r>
      <w:r>
        <w:t xml:space="preserve">— Granular and clear layers: thick skin (p3 · 136).</w:t>
      </w:r>
    </w:p>
    <w:p>
      <w:pPr>
        <w:pStyle w:val="Compact"/>
        <w:numPr>
          <w:ilvl w:val="0"/>
          <w:numId w:val="1115"/>
        </w:numPr>
      </w:pPr>
      <w:r>
        <w:rPr>
          <w:b/>
          <w:bCs/>
        </w:rPr>
        <w:t xml:space="preserve">Fig. 18–9</w:t>
      </w:r>
      <w:r>
        <w:t xml:space="preserve"> </w:t>
      </w:r>
      <w:r>
        <w:t xml:space="preserve">— Merkel or tactile cell (p3 · 142).</w:t>
      </w:r>
    </w:p>
    <w:p>
      <w:pPr>
        <w:pStyle w:val="Compact"/>
        <w:numPr>
          <w:ilvl w:val="0"/>
          <w:numId w:val="1115"/>
        </w:numPr>
      </w:pPr>
      <w:r>
        <w:rPr>
          <w:b/>
          <w:bCs/>
        </w:rPr>
        <w:t xml:space="preserve">Fig. 18–12</w:t>
      </w:r>
      <w:r>
        <w:t xml:space="preserve"> </w:t>
      </w:r>
      <w:r>
        <w:t xml:space="preserve">— Meissner and lamellated (Pacinian) corpuscles (p3 · 146).</w:t>
      </w:r>
    </w:p>
    <w:p>
      <w:pPr>
        <w:pStyle w:val="Compact"/>
        <w:numPr>
          <w:ilvl w:val="0"/>
          <w:numId w:val="1115"/>
        </w:numPr>
      </w:pPr>
      <w:r>
        <w:rPr>
          <w:b/>
          <w:bCs/>
        </w:rPr>
        <w:t xml:space="preserve">Fig. 18–16</w:t>
      </w:r>
      <w:r>
        <w:t xml:space="preserve"> </w:t>
      </w:r>
      <w:r>
        <w:t xml:space="preserve">— Glands of skin (p3 · 152).</w:t>
      </w:r>
    </w:p>
    <w:p>
      <w:pPr>
        <w:pStyle w:val="Compact"/>
        <w:numPr>
          <w:ilvl w:val="0"/>
          <w:numId w:val="1115"/>
        </w:numPr>
      </w:pPr>
      <w:r>
        <w:rPr>
          <w:b/>
          <w:bCs/>
        </w:rPr>
        <w:t xml:space="preserve">Fig. 18–20</w:t>
      </w:r>
      <w:r>
        <w:t xml:space="preserve"> </w:t>
      </w:r>
      <w:r>
        <w:t xml:space="preserve">— Major stages of cutaneous wound healing (p3 · 157).</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pp. 393–412</w:t>
      </w:r>
      <w:r>
        <w:t xml:space="preserve"> </w:t>
      </w:r>
      <w:r>
        <w:t xml:space="preserve">· Part 3, pages 161–190 · 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with a convex lateral border and a concave medial</w:t>
      </w:r>
      <w:r>
        <w:t xml:space="preserve"> </w:t>
      </w:r>
      <w:r>
        <w:rPr>
          <w:b/>
          <w:bCs/>
        </w:rPr>
        <w:t xml:space="preserve">hilum</w:t>
      </w:r>
      <w:r>
        <w:t xml:space="preserve">. on the medial border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(commonly quoted as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that examiners love:</w:t>
      </w:r>
    </w:p>
    <w:p>
      <w:pPr>
        <w:pStyle w:val="Compact"/>
        <w:numPr>
          <w:ilvl w:val="0"/>
          <w:numId w:val="1119"/>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23"/>
        </w:numPr>
      </w:pPr>
      <w:r>
        <w:rPr>
          <w:b/>
          <w:bCs/>
        </w:rPr>
        <w:t xml:space="preserve">Fig. 19–1</w:t>
      </w:r>
      <w:r>
        <w:t xml:space="preserve"> </w:t>
      </w:r>
      <w:r>
        <w:t xml:space="preserve">— Kidney (p3 · 161).</w:t>
      </w:r>
    </w:p>
    <w:p>
      <w:pPr>
        <w:pStyle w:val="Compact"/>
        <w:numPr>
          <w:ilvl w:val="0"/>
          <w:numId w:val="1123"/>
        </w:numPr>
      </w:pPr>
      <w:r>
        <w:rPr>
          <w:b/>
          <w:bCs/>
        </w:rPr>
        <w:t xml:space="preserve">Fig. 19–4</w:t>
      </w:r>
      <w:r>
        <w:t xml:space="preserve"> </w:t>
      </w:r>
      <w:r>
        <w:t xml:space="preserve">— Microvasculature of the renal cortex (p3 · 165).</w:t>
      </w:r>
    </w:p>
    <w:p>
      <w:pPr>
        <w:pStyle w:val="Compact"/>
        <w:numPr>
          <w:ilvl w:val="0"/>
          <w:numId w:val="1123"/>
        </w:numPr>
      </w:pPr>
      <w:r>
        <w:rPr>
          <w:b/>
          <w:bCs/>
        </w:rPr>
        <w:t xml:space="preserve">Fig. 19–8</w:t>
      </w:r>
      <w:r>
        <w:t xml:space="preserve"> </w:t>
      </w:r>
      <w:r>
        <w:t xml:space="preserve">— Renal cortex: proximal and distal convoluted tubules (p3 · 172).</w:t>
      </w:r>
    </w:p>
    <w:p>
      <w:pPr>
        <w:pStyle w:val="Compact"/>
        <w:numPr>
          <w:ilvl w:val="0"/>
          <w:numId w:val="1123"/>
        </w:numPr>
      </w:pPr>
      <w:r>
        <w:rPr>
          <w:b/>
          <w:bCs/>
        </w:rPr>
        <w:t xml:space="preserve">Fig. 19–11</w:t>
      </w:r>
      <w:r>
        <w:t xml:space="preserve"> </w:t>
      </w:r>
      <w:r>
        <w:t xml:space="preserve">— Renal medulla: nephron loops and collecting ducts (p3 · 177).</w:t>
      </w:r>
    </w:p>
    <w:p>
      <w:pPr>
        <w:pStyle w:val="Compact"/>
        <w:numPr>
          <w:ilvl w:val="0"/>
          <w:numId w:val="1123"/>
        </w:numPr>
      </w:pPr>
      <w:r>
        <w:rPr>
          <w:b/>
          <w:bCs/>
        </w:rPr>
        <w:t xml:space="preserve">Fig. 19–15</w:t>
      </w:r>
      <w:r>
        <w:t xml:space="preserve"> </w:t>
      </w:r>
      <w:r>
        <w:t xml:space="preserve">— Renal papilla, collecting ducts, and minor calyx (p3 · 183).</w:t>
      </w:r>
    </w:p>
    <w:p>
      <w:pPr>
        <w:pStyle w:val="Compact"/>
        <w:numPr>
          <w:ilvl w:val="0"/>
          <w:numId w:val="1123"/>
        </w:numPr>
      </w:pPr>
      <w:r>
        <w:rPr>
          <w:b/>
          <w:bCs/>
        </w:rPr>
        <w:t xml:space="preserve">Fig. 19–18</w:t>
      </w:r>
      <w:r>
        <w:t xml:space="preserve"> </w:t>
      </w:r>
      <w:r>
        <w:t xml:space="preserve">— Urethra (p3 · 187).</w:t>
      </w:r>
    </w:p>
    <w:bookmarkEnd w:id="262"/>
    <w:bookmarkEnd w:id="263"/>
    <w:bookmarkStart w:id="277" w:name="endocrine-glands"/>
    <w:p>
      <w:pPr>
        <w:pStyle w:val="Heading2"/>
      </w:pPr>
      <w:r>
        <w:t xml:space="preserve">20 · Endocrine Glands</w:t>
      </w:r>
    </w:p>
    <w:p>
      <w:pPr>
        <w:pStyle w:val="FirstParagraph"/>
      </w:pPr>
      <w:r>
        <w:rPr>
          <w:b/>
          <w:bCs/>
        </w:rPr>
        <w:t xml:space="preserve">pp. 413–438</w:t>
      </w:r>
      <w:r>
        <w:t xml:space="preserve"> </w:t>
      </w:r>
      <w:r>
        <w:t xml:space="preserve">· Part 3, pages 191–217 + part 4, pages 1–10 · 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t>
      </w:r>
      <w:r>
        <w:t xml:space="preserve">and</w:t>
      </w:r>
      <w:r>
        <w:t xml:space="preserve"> </w:t>
      </w:r>
      <w:r>
        <w:rPr>
          <w:b/>
          <w:bCs/>
        </w:rPr>
        <w:t xml:space="preserve">0.4 g</w:t>
      </w:r>
      <w:r>
        <w:t xml:space="preserve"> </w:t>
      </w:r>
      <w:r>
        <w:t xml:space="preserve">in total,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 mitochondria. They are</w:t>
      </w:r>
      <w:r>
        <w:t xml:space="preserve"> </w:t>
      </w:r>
      <w:r>
        <w:rPr>
          <w:b/>
          <w:bCs/>
        </w:rPr>
        <w:t xml:space="preserve">degenerated derivatives of principal cells</w:t>
      </w:r>
      <w:r>
        <w:t xml:space="preserve">, increase with age, and may retain low-level PTH synthesis.</w:t>
      </w:r>
    </w:p>
    <w:p>
      <w:pPr>
        <w:pStyle w:val="Compact"/>
        <w:numPr>
          <w:ilvl w:val="0"/>
          <w:numId w:val="1126"/>
        </w:numPr>
      </w:pPr>
      <w:r>
        <w:t xml:space="preserve">With age, adipocytes replace secretory cells and can make up</w:t>
      </w:r>
      <w:r>
        <w:t xml:space="preserve"> </w:t>
      </w:r>
      <w:r>
        <w:rPr>
          <w:b/>
          <w:bCs/>
        </w:rPr>
        <w:t xml:space="preserve">more than half</w:t>
      </w:r>
      <w:r>
        <w:t xml:space="preserve"> </w:t>
      </w:r>
      <w:r>
        <w:t xml:space="preserve">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0"/>
        </w:numPr>
      </w:pPr>
      <w:r>
        <w:rPr>
          <w:b/>
          <w:bCs/>
        </w:rPr>
        <w:t xml:space="preserve">Fig. 20–1</w:t>
      </w:r>
      <w:r>
        <w:t xml:space="preserve"> </w:t>
      </w:r>
      <w:r>
        <w:t xml:space="preserve">— Locations of the major endocrine glands and the hormones they release (p3 · 191).</w:t>
      </w:r>
    </w:p>
    <w:p>
      <w:pPr>
        <w:pStyle w:val="Compact"/>
        <w:numPr>
          <w:ilvl w:val="0"/>
          <w:numId w:val="1130"/>
        </w:numPr>
      </w:pPr>
      <w:r>
        <w:rPr>
          <w:b/>
          <w:bCs/>
        </w:rPr>
        <w:t xml:space="preserve">Fig. 20–6</w:t>
      </w:r>
      <w:r>
        <w:t xml:space="preserve"> </w:t>
      </w:r>
      <w:r>
        <w:t xml:space="preserve">— Pars distalis: Acidophils, basophils, and chromophobes (p3 · 197).</w:t>
      </w:r>
    </w:p>
    <w:p>
      <w:pPr>
        <w:pStyle w:val="Compact"/>
        <w:numPr>
          <w:ilvl w:val="0"/>
          <w:numId w:val="1130"/>
        </w:numPr>
      </w:pPr>
      <w:r>
        <w:rPr>
          <w:b/>
          <w:bCs/>
        </w:rPr>
        <w:t xml:space="preserve">Fig. 20–10</w:t>
      </w:r>
      <w:r>
        <w:t xml:space="preserve"> </w:t>
      </w:r>
      <w:r>
        <w:t xml:space="preserve">— Negative feedback loops affecting anterior pituitary secretion (p3 · 203).</w:t>
      </w:r>
    </w:p>
    <w:p>
      <w:pPr>
        <w:pStyle w:val="Compact"/>
        <w:numPr>
          <w:ilvl w:val="0"/>
          <w:numId w:val="1130"/>
        </w:numPr>
      </w:pPr>
      <w:r>
        <w:rPr>
          <w:b/>
          <w:bCs/>
        </w:rPr>
        <w:t xml:space="preserve">Fig. 20–15</w:t>
      </w:r>
      <w:r>
        <w:t xml:space="preserve"> </w:t>
      </w:r>
      <w:r>
        <w:t xml:space="preserve">— Adrenal cortex (p3 · 209).</w:t>
      </w:r>
    </w:p>
    <w:p>
      <w:pPr>
        <w:pStyle w:val="Compact"/>
        <w:numPr>
          <w:ilvl w:val="0"/>
          <w:numId w:val="1130"/>
        </w:numPr>
      </w:pPr>
      <w:r>
        <w:rPr>
          <w:b/>
          <w:bCs/>
        </w:rPr>
        <w:t xml:space="preserve">Fig. 20–19</w:t>
      </w:r>
      <w:r>
        <w:t xml:space="preserve"> </w:t>
      </w:r>
      <w:r>
        <w:t xml:space="preserve">— Thyroid follicular cells and parafollicular cells (p3 · 216).</w:t>
      </w:r>
    </w:p>
    <w:p>
      <w:pPr>
        <w:pStyle w:val="Compact"/>
        <w:numPr>
          <w:ilvl w:val="0"/>
          <w:numId w:val="1130"/>
        </w:numPr>
      </w:pPr>
      <w:r>
        <w:rPr>
          <w:b/>
          <w:bCs/>
        </w:rPr>
        <w:t xml:space="preserve">Fig. 20–24</w:t>
      </w:r>
      <w:r>
        <w:t xml:space="preserve"> </w:t>
      </w:r>
      <w:r>
        <w:t xml:space="preserve">— Pineal gland (p4 · 5).</w:t>
      </w:r>
    </w:p>
    <w:bookmarkEnd w:id="276"/>
    <w:bookmarkEnd w:id="277"/>
    <w:bookmarkStart w:id="289" w:name="the-male-reproductive-system"/>
    <w:p>
      <w:pPr>
        <w:pStyle w:val="Heading2"/>
      </w:pPr>
      <w:r>
        <w:t xml:space="preserve">21 · The Male Reproductive System</w:t>
      </w:r>
    </w:p>
    <w:p>
      <w:pPr>
        <w:pStyle w:val="FirstParagraph"/>
      </w:pPr>
      <w:r>
        <w:rPr>
          <w:b/>
          <w:bCs/>
        </w:rPr>
        <w:t xml:space="preserve">pp. 439–459</w:t>
      </w:r>
      <w:r>
        <w:t xml:space="preserve"> </w:t>
      </w:r>
      <w:r>
        <w:t xml:space="preserve">· Part 4, pages 11–39 · 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never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9"/>
        </w:numPr>
      </w:pPr>
      <w:r>
        <w:rPr>
          <w:b/>
          <w:bCs/>
        </w:rPr>
        <w:t xml:space="preserve">Fig. 21–1</w:t>
      </w:r>
      <w:r>
        <w:t xml:space="preserve"> </w:t>
      </w:r>
      <w:r>
        <w:t xml:space="preserve">— Male reproductive system (p4 · 11).</w:t>
      </w:r>
    </w:p>
    <w:p>
      <w:pPr>
        <w:pStyle w:val="Compact"/>
        <w:numPr>
          <w:ilvl w:val="0"/>
          <w:numId w:val="1139"/>
        </w:numPr>
      </w:pPr>
      <w:r>
        <w:rPr>
          <w:b/>
          <w:bCs/>
        </w:rPr>
        <w:t xml:space="preserve">Fig. 21–5</w:t>
      </w:r>
      <w:r>
        <w:t xml:space="preserve"> </w:t>
      </w:r>
      <w:r>
        <w:t xml:space="preserve">— Spermatogenesis and spermiogenesis (p4 · 16).</w:t>
      </w:r>
    </w:p>
    <w:p>
      <w:pPr>
        <w:pStyle w:val="Compact"/>
        <w:numPr>
          <w:ilvl w:val="0"/>
          <w:numId w:val="1139"/>
        </w:numPr>
      </w:pPr>
      <w:r>
        <w:rPr>
          <w:b/>
          <w:bCs/>
        </w:rPr>
        <w:t xml:space="preserve">Fig. 21–8</w:t>
      </w:r>
      <w:r>
        <w:t xml:space="preserve"> </w:t>
      </w:r>
      <w:r>
        <w:t xml:space="preserve">— Differentiating spermatid (p4 · 21).</w:t>
      </w:r>
    </w:p>
    <w:p>
      <w:pPr>
        <w:pStyle w:val="Compact"/>
        <w:numPr>
          <w:ilvl w:val="0"/>
          <w:numId w:val="1139"/>
        </w:numPr>
      </w:pPr>
      <w:r>
        <w:rPr>
          <w:b/>
          <w:bCs/>
        </w:rPr>
        <w:t xml:space="preserve">Fig. 21–12</w:t>
      </w:r>
      <w:r>
        <w:t xml:space="preserve"> </w:t>
      </w:r>
      <w:r>
        <w:t xml:space="preserve">— Ductus deferens (p4 · 28).</w:t>
      </w:r>
    </w:p>
    <w:p>
      <w:pPr>
        <w:pStyle w:val="Compact"/>
        <w:numPr>
          <w:ilvl w:val="0"/>
          <w:numId w:val="1139"/>
        </w:numPr>
      </w:pPr>
      <w:r>
        <w:rPr>
          <w:b/>
          <w:bCs/>
        </w:rPr>
        <w:t xml:space="preserve">Fig. 21–15</w:t>
      </w:r>
      <w:r>
        <w:t xml:space="preserve"> </w:t>
      </w:r>
      <w:r>
        <w:t xml:space="preserve">— Organization of the prostate gland (p4 · 31).</w:t>
      </w:r>
    </w:p>
    <w:p>
      <w:pPr>
        <w:pStyle w:val="Compact"/>
        <w:numPr>
          <w:ilvl w:val="0"/>
          <w:numId w:val="1139"/>
        </w:numPr>
      </w:pPr>
      <w:r>
        <w:rPr>
          <w:b/>
          <w:bCs/>
        </w:rPr>
        <w:t xml:space="preserve">Fig. 21–19</w:t>
      </w:r>
      <w:r>
        <w:t xml:space="preserve"> </w:t>
      </w:r>
      <w:r>
        <w:t xml:space="preserve">— Penile urethra and erectile tissue (p4 · 35).</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Part 4, pages 40–83 · 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49"/>
        </w:numPr>
      </w:pPr>
      <w:r>
        <w:rPr>
          <w:b/>
          <w:bCs/>
        </w:rPr>
        <w:t xml:space="preserve">Fig. 22–1</w:t>
      </w:r>
      <w:r>
        <w:t xml:space="preserve"> </w:t>
      </w:r>
      <w:r>
        <w:t xml:space="preserve">— Female reproductive system and overview of ovary (p4 · 41).</w:t>
      </w:r>
    </w:p>
    <w:p>
      <w:pPr>
        <w:pStyle w:val="Compact"/>
        <w:numPr>
          <w:ilvl w:val="0"/>
          <w:numId w:val="1149"/>
        </w:numPr>
      </w:pPr>
      <w:r>
        <w:rPr>
          <w:b/>
          <w:bCs/>
        </w:rPr>
        <w:t xml:space="preserve">Fig. 22–6</w:t>
      </w:r>
      <w:r>
        <w:t xml:space="preserve"> </w:t>
      </w:r>
      <w:r>
        <w:t xml:space="preserve">— Ultrastructure of primary follicle and zona pellucida (p4 · 47).</w:t>
      </w:r>
    </w:p>
    <w:p>
      <w:pPr>
        <w:pStyle w:val="Compact"/>
        <w:numPr>
          <w:ilvl w:val="0"/>
          <w:numId w:val="1149"/>
        </w:numPr>
      </w:pPr>
      <w:r>
        <w:rPr>
          <w:b/>
          <w:bCs/>
        </w:rPr>
        <w:t xml:space="preserve">Fig. 22–12</w:t>
      </w:r>
      <w:r>
        <w:t xml:space="preserve"> </w:t>
      </w:r>
      <w:r>
        <w:t xml:space="preserve">— Corpus luteum (p4 · 53).</w:t>
      </w:r>
    </w:p>
    <w:p>
      <w:pPr>
        <w:pStyle w:val="Compact"/>
        <w:numPr>
          <w:ilvl w:val="0"/>
          <w:numId w:val="1149"/>
        </w:numPr>
      </w:pPr>
      <w:r>
        <w:rPr>
          <w:b/>
          <w:bCs/>
        </w:rPr>
        <w:t xml:space="preserve">Fig. 22–17</w:t>
      </w:r>
      <w:r>
        <w:t xml:space="preserve"> </w:t>
      </w:r>
      <w:r>
        <w:t xml:space="preserve">— Correlation of ovarian and menstrual cycles with levels of their controlling hormones (p4 · 59).</w:t>
      </w:r>
    </w:p>
    <w:p>
      <w:pPr>
        <w:pStyle w:val="Compact"/>
        <w:numPr>
          <w:ilvl w:val="0"/>
          <w:numId w:val="1149"/>
        </w:numPr>
      </w:pPr>
      <w:r>
        <w:rPr>
          <w:b/>
          <w:bCs/>
        </w:rPr>
        <w:t xml:space="preserve">Fig. 22–23</w:t>
      </w:r>
      <w:r>
        <w:t xml:space="preserve"> </w:t>
      </w:r>
      <w:r>
        <w:t xml:space="preserve">— Cervix (p4 · 73).</w:t>
      </w:r>
    </w:p>
    <w:p>
      <w:pPr>
        <w:pStyle w:val="Compact"/>
        <w:numPr>
          <w:ilvl w:val="0"/>
          <w:numId w:val="1149"/>
        </w:numPr>
      </w:pPr>
      <w:r>
        <w:rPr>
          <w:b/>
          <w:bCs/>
        </w:rPr>
        <w:t xml:space="preserve">Fig. 22–28</w:t>
      </w:r>
      <w:r>
        <w:t xml:space="preserve"> </w:t>
      </w:r>
      <w:r>
        <w:t xml:space="preserve">— Secretion in the mammary gland (p4 · 78).</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Part 4, pages 84–137 · 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(three orientations; accommodation) and about</w:t>
      </w:r>
      <w:r>
        <w:t xml:space="preserve"> </w:t>
      </w:r>
      <w:r>
        <w:rPr>
          <w:b/>
          <w:bCs/>
        </w:rPr>
        <w:t xml:space="preserve">75 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w:t>
      </w:r>
      <w:r>
        <w:t xml:space="preserve"> </w:t>
      </w:r>
      <w:r>
        <w:rPr>
          <w:b/>
          <w:bCs/>
        </w:rPr>
        <w:t xml:space="preserve">about 3,500 inner hair cells in one row</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3,500 inner hair cells in one row.</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56"/>
        </w:numPr>
      </w:pPr>
      <w:r>
        <w:rPr>
          <w:b/>
          <w:bCs/>
        </w:rPr>
        <w:t xml:space="preserve">Fig. 23–1</w:t>
      </w:r>
      <w:r>
        <w:t xml:space="preserve"> </w:t>
      </w:r>
      <w:r>
        <w:t xml:space="preserve">— Internal anatomy of the eye (p4 · 84).</w:t>
      </w:r>
    </w:p>
    <w:p>
      <w:pPr>
        <w:pStyle w:val="Compact"/>
        <w:numPr>
          <w:ilvl w:val="0"/>
          <w:numId w:val="1156"/>
        </w:numPr>
      </w:pPr>
      <w:r>
        <w:rPr>
          <w:b/>
          <w:bCs/>
        </w:rPr>
        <w:t xml:space="preserve">Fig. 23–7</w:t>
      </w:r>
      <w:r>
        <w:t xml:space="preserve"> </w:t>
      </w:r>
      <w:r>
        <w:t xml:space="preserve">— Epithelium of ciliary processes (p4 · 93).</w:t>
      </w:r>
    </w:p>
    <w:p>
      <w:pPr>
        <w:pStyle w:val="Compact"/>
        <w:numPr>
          <w:ilvl w:val="0"/>
          <w:numId w:val="1156"/>
        </w:numPr>
      </w:pPr>
      <w:r>
        <w:rPr>
          <w:b/>
          <w:bCs/>
        </w:rPr>
        <w:t xml:space="preserve">Fig. 23–14</w:t>
      </w:r>
      <w:r>
        <w:t xml:space="preserve"> </w:t>
      </w:r>
      <w:r>
        <w:t xml:space="preserve">— General organization and specialized areas of the retina (p4 · 103).</w:t>
      </w:r>
    </w:p>
    <w:p>
      <w:pPr>
        <w:pStyle w:val="Compact"/>
        <w:numPr>
          <w:ilvl w:val="0"/>
          <w:numId w:val="1156"/>
        </w:numPr>
      </w:pPr>
      <w:r>
        <w:rPr>
          <w:b/>
          <w:bCs/>
        </w:rPr>
        <w:t xml:space="preserve">Fig. 23–20</w:t>
      </w:r>
      <w:r>
        <w:t xml:space="preserve"> </w:t>
      </w:r>
      <w:r>
        <w:t xml:space="preserve">— Lacrimal gland (p4 · 114).</w:t>
      </w:r>
    </w:p>
    <w:p>
      <w:pPr>
        <w:pStyle w:val="Compact"/>
        <w:numPr>
          <w:ilvl w:val="0"/>
          <w:numId w:val="1156"/>
        </w:numPr>
      </w:pPr>
      <w:r>
        <w:rPr>
          <w:b/>
          <w:bCs/>
        </w:rPr>
        <w:t xml:space="preserve">Fig. 23–27</w:t>
      </w:r>
      <w:r>
        <w:t xml:space="preserve"> </w:t>
      </w:r>
      <w:r>
        <w:t xml:space="preserve">— Mechanotransduction in hair cells (p4 · 123).</w:t>
      </w:r>
    </w:p>
    <w:p>
      <w:pPr>
        <w:pStyle w:val="Compact"/>
        <w:numPr>
          <w:ilvl w:val="0"/>
          <w:numId w:val="1156"/>
        </w:numPr>
      </w:pPr>
      <w:r>
        <w:rPr>
          <w:b/>
          <w:bCs/>
        </w:rPr>
        <w:t xml:space="preserve">Fig. 23–33</w:t>
      </w:r>
      <w:r>
        <w:t xml:space="preserve"> </w:t>
      </w:r>
      <w:r>
        <w:t xml:space="preserve">— Interpretation of sound waves in the cochlea (p4 · 132).</w:t>
      </w:r>
    </w:p>
    <w:bookmarkEnd w:id="313"/>
    <w:bookmarkEnd w:id="314"/>
    <w:bookmarkEnd w:id="315"/>
    <w:bookmarkStart w:id="325"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an examiner can ask.</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Basement membrane = lamina lucida, densa, reticularis.</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apocrine.</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2–3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X1a507a8a1817a06fda3475f33c741174455b55b"/>
    <w:p>
      <w:pPr>
        <w:pStyle w:val="Heading3"/>
      </w:pPr>
      <w:r>
        <w:t xml:space="preserve">Confessions of the examiner — the eight most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3"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End w:id="323"/>
    <w:bookmarkStart w:id="324"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4"/>
    <w:bookmarkEnd w:id="325"/>
    <w:bookmarkStart w:id="337" w:name="part-vii-assess-your-knowledge"/>
    <w:p>
      <w:pPr>
        <w:pStyle w:val="Heading1"/>
      </w:pPr>
      <w:r>
        <w:t xml:space="preserve">PART VII — ASSESS YOUR KNOWLEDGE</w:t>
      </w:r>
    </w:p>
    <w:bookmarkStart w:id="334"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326"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r>
        <w:t xml:space="preserve"> </w:t>
      </w: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r>
        <w:t xml:space="preserve"> </w:t>
      </w: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r>
        <w:t xml:space="preserve"> </w:t>
      </w: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r>
        <w:t xml:space="preserve"> </w:t>
      </w: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r>
        <w:t xml:space="preserve"> </w:t>
      </w: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r>
        <w:t xml:space="preserve"> </w:t>
      </w: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r>
        <w:t xml:space="preserve"> </w:t>
      </w: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r>
        <w:t xml:space="preserve"> </w:t>
      </w: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r>
        <w:t xml:space="preserve"> </w:t>
      </w:r>
      <w:r>
        <w:t xml:space="preserve">A. 16, 17, 18, 19, 20</w:t>
      </w:r>
      <w:r>
        <w:t xml:space="preserve"> </w:t>
      </w:r>
      <w:r>
        <w:t xml:space="preserve">B. X and Y</w:t>
      </w:r>
      <w:r>
        <w:t xml:space="preserve"> </w:t>
      </w:r>
      <w:r>
        <w:t xml:space="preserve">C. 1, 2, 3, 4, 5</w:t>
      </w:r>
      <w:r>
        <w:t xml:space="preserve"> </w:t>
      </w:r>
      <w:r>
        <w:t xml:space="preserve">D. 13, 14, 15, 21, 22</w:t>
      </w:r>
    </w:p>
    <w:bookmarkEnd w:id="326"/>
    <w:bookmarkStart w:id="327"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r>
        <w:t xml:space="preserve"> </w:t>
      </w: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r>
        <w:t xml:space="preserve"> </w:t>
      </w: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r>
        <w:t xml:space="preserve"> </w:t>
      </w: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r>
        <w:t xml:space="preserve"> </w:t>
      </w: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r>
        <w:t xml:space="preserve"> </w:t>
      </w: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r>
        <w:t xml:space="preserve"> </w:t>
      </w: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r>
        <w:t xml:space="preserve"> </w:t>
      </w: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r>
        <w:t xml:space="preserve"> </w:t>
      </w:r>
      <w:r>
        <w:t xml:space="preserve">A. Elastic</w:t>
      </w:r>
      <w:r>
        <w:t xml:space="preserve"> </w:t>
      </w:r>
      <w:r>
        <w:t xml:space="preserve">B. Fibrocartilage</w:t>
      </w:r>
      <w:r>
        <w:t xml:space="preserve"> </w:t>
      </w:r>
      <w:r>
        <w:t xml:space="preserve">C. Articular hyaline</w:t>
      </w:r>
      <w:r>
        <w:t xml:space="preserve"> </w:t>
      </w:r>
      <w:r>
        <w:t xml:space="preserve">D. Hyaline</w:t>
      </w:r>
    </w:p>
    <w:p>
      <w:pPr>
        <w:pStyle w:val="BodyText"/>
      </w:pPr>
      <w:r>
        <w:rPr>
          <w:b/>
          <w:bCs/>
        </w:rPr>
        <w:t xml:space="preserve">24.</w:t>
      </w:r>
      <w:r>
        <w:t xml:space="preserve"> </w:t>
      </w:r>
      <w:r>
        <w:t xml:space="preserve">The intervertebral disc’s annulus fibrosus is composed of:</w:t>
      </w:r>
      <w:r>
        <w:t xml:space="preserve"> </w:t>
      </w: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r>
        <w:t xml:space="preserve"> </w:t>
      </w: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r>
        <w:t xml:space="preserve"> </w:t>
      </w: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r>
        <w:t xml:space="preserve"> </w:t>
      </w: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r>
        <w:t xml:space="preserve"> </w:t>
      </w: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r>
        <w:t xml:space="preserve"> </w:t>
      </w: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r>
        <w:t xml:space="preserve"> </w:t>
      </w: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r>
        <w:t xml:space="preserve"> </w:t>
      </w:r>
      <w:r>
        <w:t xml:space="preserve">A. Liver</w:t>
      </w:r>
      <w:r>
        <w:t xml:space="preserve"> </w:t>
      </w:r>
      <w:r>
        <w:t xml:space="preserve">B. Spleen</w:t>
      </w:r>
      <w:r>
        <w:t xml:space="preserve"> </w:t>
      </w:r>
      <w:r>
        <w:t xml:space="preserve">C. Red bone marrow</w:t>
      </w:r>
      <w:r>
        <w:t xml:space="preserve"> </w:t>
      </w:r>
      <w:r>
        <w:t xml:space="preserve">D. Yellow bone marrow</w:t>
      </w:r>
    </w:p>
    <w:bookmarkEnd w:id="327"/>
    <w:bookmarkStart w:id="328"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r>
        <w:t xml:space="preserve"> </w:t>
      </w: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r>
        <w:t xml:space="preserve"> </w:t>
      </w: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r>
        <w:t xml:space="preserve"> </w:t>
      </w: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r>
        <w:t xml:space="preserve"> </w:t>
      </w: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r>
        <w:t xml:space="preserve"> </w:t>
      </w: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r>
        <w:t xml:space="preserve"> </w:t>
      </w: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r>
        <w:t xml:space="preserve"> </w:t>
      </w: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r>
        <w:t xml:space="preserve"> </w:t>
      </w: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r>
        <w:t xml:space="preserve"> </w:t>
      </w:r>
      <w:r>
        <w:t xml:space="preserve">A. All equally</w:t>
      </w:r>
      <w:r>
        <w:t xml:space="preserve"> </w:t>
      </w:r>
      <w:r>
        <w:t xml:space="preserve">B. Type I</w:t>
      </w:r>
      <w:r>
        <w:t xml:space="preserve"> </w:t>
      </w:r>
      <w:r>
        <w:t xml:space="preserve">C. Type IIa</w:t>
      </w:r>
      <w:r>
        <w:t xml:space="preserve"> </w:t>
      </w:r>
      <w:r>
        <w:t xml:space="preserve">D. Type IIx</w:t>
      </w:r>
    </w:p>
    <w:bookmarkEnd w:id="328"/>
    <w:bookmarkStart w:id="329"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r>
        <w:t xml:space="preserve"> </w:t>
      </w: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r>
        <w:t xml:space="preserve"> </w:t>
      </w: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r>
        <w:t xml:space="preserve"> </w:t>
      </w: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r>
        <w:t xml:space="preserve"> </w:t>
      </w: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r>
        <w:t xml:space="preserve"> </w:t>
      </w: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r>
        <w:t xml:space="preserve"> </w:t>
      </w: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r>
        <w:t xml:space="preserve"> </w:t>
      </w: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r>
        <w:t xml:space="preserve"> </w:t>
      </w: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r>
        <w:t xml:space="preserve"> </w:t>
      </w: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 lacks afferent lymphatic vessels?</w:t>
      </w:r>
      <w:r>
        <w:t xml:space="preserve"> </w:t>
      </w: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r>
        <w:t xml:space="preserve"> </w:t>
      </w: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r>
        <w:t xml:space="preserve"> </w:t>
      </w: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r>
        <w:t xml:space="preserve"> </w:t>
      </w: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r>
        <w:t xml:space="preserve"> </w:t>
      </w: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Neonatal hemopoiesis occurs mainly in the:</w:t>
      </w:r>
      <w:r>
        <w:t xml:space="preserve"> </w:t>
      </w: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w:t>
      </w:r>
      <w:r>
        <w:t xml:space="preserve"> </w:t>
      </w:r>
      <w:r>
        <w:t xml:space="preserve">B. Melanocyte</w:t>
      </w:r>
      <w:r>
        <w:t xml:space="preserve"> </w:t>
      </w:r>
      <w:r>
        <w:t xml:space="preserve">C. Langerhans cell</w:t>
      </w:r>
      <w:r>
        <w:t xml:space="preserve"> </w:t>
      </w:r>
      <w:r>
        <w:t xml:space="preserve">D. Merkel cell</w:t>
      </w:r>
    </w:p>
    <w:bookmarkEnd w:id="329"/>
    <w:bookmarkStart w:id="330"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r>
        <w:t xml:space="preserve"> </w:t>
      </w: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r>
        <w:t xml:space="preserve"> </w:t>
      </w: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r>
        <w:t xml:space="preserve"> </w:t>
      </w: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r>
        <w:t xml:space="preserve"> </w:t>
      </w: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r>
        <w:t xml:space="preserve"> </w:t>
      </w: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r>
        <w:t xml:space="preserve"> </w:t>
      </w: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r>
        <w:t xml:space="preserve"> </w:t>
      </w: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r>
        <w:t xml:space="preserve"> </w:t>
      </w: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r>
        <w:t xml:space="preserve"> </w:t>
      </w: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r>
        <w:t xml:space="preserve"> </w:t>
      </w: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r>
        <w:t xml:space="preserve"> </w:t>
      </w: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0"/>
    <w:bookmarkStart w:id="331"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r>
        <w:t xml:space="preserve"> </w:t>
      </w: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r>
        <w:t xml:space="preserve"> </w:t>
      </w: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r>
        <w:t xml:space="preserve"> </w:t>
      </w: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r>
        <w:t xml:space="preserve"> </w:t>
      </w: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r>
        <w:t xml:space="preserve"> </w:t>
      </w: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r>
        <w:t xml:space="preserve"> </w:t>
      </w: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r>
        <w:t xml:space="preserve"> </w:t>
      </w: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r>
        <w:t xml:space="preserve"> </w:t>
      </w: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r>
        <w:t xml:space="preserve"> </w:t>
      </w: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1"/>
    <w:bookmarkStart w:id="332"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r>
        <w:t xml:space="preserve"> </w:t>
      </w: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r>
        <w:t xml:space="preserve"> </w:t>
      </w: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r>
        <w:t xml:space="preserve"> </w:t>
      </w: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r>
        <w:t xml:space="preserve"> </w:t>
      </w: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r>
        <w:t xml:space="preserve"> </w:t>
      </w:r>
      <w:r>
        <w:t xml:space="preserve">A. Stratified cuboidal epithelium</w:t>
      </w:r>
      <w:r>
        <w:t xml:space="preserve"> </w:t>
      </w:r>
      <w:r>
        <w:t xml:space="preserve">B. Pseudostratified epithelium</w:t>
      </w:r>
      <w:r>
        <w:t xml:space="preserve"> </w:t>
      </w:r>
      <w:r>
        <w:t xml:space="preserve">C. Simple squamous epithelium</w:t>
      </w:r>
      <w:r>
        <w:t xml:space="preserve"> </w:t>
      </w:r>
      <w:r>
        <w:t xml:space="preserve">D. Simple cuboidal epithelium</w:t>
      </w:r>
    </w:p>
    <w:p>
      <w:pPr>
        <w:pStyle w:val="BodyText"/>
      </w:pPr>
      <w:r>
        <w:rPr>
          <w:b/>
          <w:bCs/>
        </w:rPr>
        <w:t xml:space="preserve">89.</w:t>
      </w:r>
      <w:r>
        <w:t xml:space="preserve"> </w:t>
      </w:r>
      <w:r>
        <w:t xml:space="preserve">Calcitonin is secreted by:</w:t>
      </w:r>
      <w:r>
        <w:t xml:space="preserve"> </w:t>
      </w: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r>
        <w:t xml:space="preserve"> </w:t>
      </w: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r>
        <w:t xml:space="preserve"> </w:t>
      </w: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r>
        <w:t xml:space="preserve"> </w:t>
      </w: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2"/>
    <w:bookmarkStart w:id="333"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r>
        <w:t xml:space="preserve"> </w:t>
      </w: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r>
        <w:t xml:space="preserve"> </w:t>
      </w: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r>
        <w:t xml:space="preserve"> </w:t>
      </w: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r>
        <w:t xml:space="preserve"> </w:t>
      </w: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r>
        <w:t xml:space="preserve"> </w:t>
      </w: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r>
        <w:t xml:space="preserve"> </w:t>
      </w: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3"/>
    <w:bookmarkEnd w:id="334"/>
    <w:bookmarkStart w:id="335"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is electron-microscope resolution.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does have perichondrium (though it is thin).</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Tight junctions are not a component of intercalated discs.</w:t>
      </w:r>
      <w:r>
        <w:t xml:space="preserve"> </w:t>
      </w:r>
      <w:r>
        <w:rPr>
          <w:b/>
          <w:bCs/>
        </w:rPr>
        <w:t xml:space="preserve">Trap:</w:t>
      </w:r>
      <w:r>
        <w:t xml:space="preserve"> </w:t>
      </w:r>
      <w:r>
        <w:t xml:space="preserve">A, B, and C are all present. Tight junctions are not a component of the intercalated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cardiac diads. D is the middle of the sarcomere. A is within the B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60–70%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This ratio is a standard hematology figure; the chapter’s text does not state one, so treat it as supplementary.</w:t>
      </w:r>
      <w:r>
        <w:t xml:space="preserve"> </w:t>
      </w:r>
      <w:r>
        <w:rPr>
          <w:b/>
          <w:bCs/>
        </w:rPr>
        <w:t xml:space="preserve">Trap:</w:t>
      </w:r>
      <w:r>
        <w:t xml:space="preserve"> </w:t>
      </w:r>
      <w:r>
        <w:t xml:space="preserve">B, D, and A are not the normal adult ratio.</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C and D contain the submucosal plexus. B is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D and A have few. C has none.</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C and D are lined by other cells. B is a serous membrane.</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A and B contain Meissner corpuscles.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is too flat for active transport. A and B are not the normal lining.</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5"/>
    <w:bookmarkStart w:id="336"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336"/>
    <w:bookmarkEnd w:id="337"/>
    <w:bookmarkStart w:id="338" w:name="Xf263a78a210c704a123fdbf2ac402f0b12f595e"/>
    <w:p>
      <w:pPr>
        <w:pStyle w:val="Heading1"/>
      </w:pPr>
      <w:r>
        <w:t xml:space="preserve">APPENDIX C — The Book’s Stain Appendix (Light Microscopy Stains)</w:t>
      </w:r>
    </w:p>
    <w:p>
      <w:pPr>
        <w:pStyle w:val="FirstParagraph"/>
      </w:pPr>
      <w:r>
        <w:rPr>
          <w:b/>
          <w:bCs/>
        </w:rPr>
        <w:t xml:space="preserve">Book pages 525–526 ·</w:t>
      </w:r>
      <w:r>
        <w:rPr>
          <w:b/>
          <w:bCs/>
        </w:rPr>
        <w:t xml:space="preserve"> </w:t>
      </w:r>
      <w:r>
        <w:rPr>
          <w:rStyle w:val="VerbatimChar"/>
          <w:b/>
          <w:bCs/>
        </w:rPr>
        <w:t xml:space="preserve">p4</w:t>
      </w:r>
      <w:r>
        <w:rPr>
          <w:b/>
          <w:bCs/>
        </w:rPr>
        <w:t xml:space="preserve"> </w:t>
      </w:r>
      <w:r>
        <w:rPr>
          <w:b/>
          <w:bCs/>
        </w:rPr>
        <w:t xml:space="preserve">· 138–139</w:t>
      </w:r>
    </w:p>
    <w:p>
      <w:pPr>
        <w:pStyle w:val="BodyText"/>
      </w:pPr>
      <w:r>
        <w:t xml:space="preserve">The textbook’s own appendix (Appendix A in the source, pp 525–526) is short but examinable, because every plate caption in the atlas names its stain. This chapter reproduces its list with the chemistry behind each stain; the guide’s own Appendix A (Chapter 24)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en-US</dc:language>
  <cp:keywords/>
  <dcterms:created xsi:type="dcterms:W3CDTF">2026-10-20T15:02:08Z</dcterms:created>
  <dcterms:modified xsi:type="dcterms:W3CDTF">2026-10-20T15:02:08Z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