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Five questions to answer from memory before checking</w:t>
            </w:r>
          </w:p>
        </w:tc>
      </w:tr>
      <w:tr>
        <w:tc>
          <w:tcPr/>
          <w:p>
            <w:pPr>
              <w:pStyle w:val="Compact"/>
            </w:pPr>
            <w:r>
              <w:rPr>
                <w:b/>
                <w:bCs/>
              </w:rPr>
              <w:t xml:space="preserve">Exam-style question</w:t>
            </w:r>
          </w:p>
        </w:tc>
        <w:tc>
          <w:tcPr/>
          <w:p>
            <w:pPr>
              <w:pStyle w:val="Compact"/>
            </w:pPr>
            <w:r>
              <w:t xml:space="preserve">One worked MCQ, with the reason each distractor fails</w:t>
            </w:r>
          </w:p>
        </w:tc>
      </w:tr>
      <w:tr>
        <w:tc>
          <w:tcPr/>
          <w:p>
            <w:pPr>
              <w:pStyle w:val="Compact"/>
            </w:pPr>
            <w:r>
              <w:rPr>
                <w:b/>
                <w:bCs/>
              </w:rPr>
              <w:t xml:space="preserve">Plates to study</w:t>
            </w:r>
          </w:p>
        </w:tc>
        <w:tc>
          <w:tcPr/>
          <w:p>
            <w:pPr>
              <w:pStyle w:val="Compact"/>
            </w:pPr>
            <w:r>
              <w:t xml:space="preserve">Six textbook figures, with the caption subject as a self-test</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decades: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 further multiple-choice questions, a lab guide with microscopic directions for each laboratory session, and links to virtual light microscope slides. If your library subscribes, the lab guide gives step-by-step directions for each laboratory session.</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 enough to view isolated particles magnified as much as</w:t>
      </w:r>
      <w:r>
        <w:t xml:space="preserve"> </w:t>
      </w:r>
      <w:r>
        <w:rPr>
          <w:b/>
          <w:bCs/>
        </w:rPr>
        <w:t xml:space="preserve">400,000×</w:t>
      </w:r>
      <w:r>
        <w:t xml:space="preserve">. On ideal specimens the instrument’s point resolution can approach</w:t>
      </w:r>
      <w:r>
        <w:t xml:space="preserve"> </w:t>
      </w:r>
      <w:r>
        <w:rPr>
          <w:b/>
          <w:bCs/>
        </w:rPr>
        <w:t xml:space="preserve">0.2 nm</w:t>
      </w:r>
      <w:r>
        <w:t xml:space="preserve">, which is why both numbers appear in the literature.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the instrument’s point resolution can approach 0.2 nm).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 (point resolution approaching 0.2 nm).</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 roughly two orders of magnitude, with the instrument’s point resolution approaching 0.2 nm on ideal specimens.</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passive and inflammatory.</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frequent mutation in human cancers (commonly cited as about half).</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most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passive, swells and ruptures the cell, and inflames the tissue.</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always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Keratin 5/14 mark the basal layer; keratin 1/10 mark suprabasal layers.</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Cartilage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 (supplementary standard value, not stated in the chapter).</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w:t>
      </w:r>
      <w:r>
        <w:rPr>
          <w:b/>
          <w:bCs/>
        </w:rPr>
        <w:t xml:space="preserve">10–12 cm</w:t>
      </w:r>
      <w:r>
        <w:t xml:space="preserve">) continues as the</w:t>
      </w:r>
      <w:r>
        <w:t xml:space="preserve"> </w:t>
      </w:r>
      <w:r>
        <w:rPr>
          <w:b/>
          <w:bCs/>
        </w:rPr>
        <w:t xml:space="preserve">anal canal</w:t>
      </w:r>
      <w:r>
        <w:t xml:space="preserve"> </w:t>
      </w:r>
      <w:r>
        <w:t xml:space="preserve">(</w:t>
      </w:r>
      <w:r>
        <w:rPr>
          <w:b/>
          <w:bCs/>
        </w:rPr>
        <w:t xml:space="preserve">3–4 cm</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with about a dozen C-shaped rings.</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 ≈ 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t>
      </w:r>
      <w:r>
        <w:t xml:space="preserve">and</w:t>
      </w:r>
      <w:r>
        <w:t xml:space="preserve"> </w:t>
      </w:r>
      <w:r>
        <w:rPr>
          <w:b/>
          <w:bCs/>
        </w:rPr>
        <w:t xml:space="preserve">0.4 g</w:t>
      </w:r>
      <w:r>
        <w:t xml:space="preserve"> </w:t>
      </w:r>
      <w:r>
        <w:t xml:space="preserve">in total,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 mitochondria. They are</w:t>
      </w:r>
      <w:r>
        <w:t xml:space="preserve"> </w:t>
      </w:r>
      <w:r>
        <w:rPr>
          <w:b/>
          <w:bCs/>
        </w:rPr>
        <w:t xml:space="preserve">degenerated derivatives of principal cells</w:t>
      </w:r>
      <w:r>
        <w:t xml:space="preserve">, increase with age, and may retain low-level PTH synthesis.</w:t>
      </w:r>
    </w:p>
    <w:p>
      <w:pPr>
        <w:pStyle w:val="Compact"/>
        <w:numPr>
          <w:ilvl w:val="0"/>
          <w:numId w:val="1126"/>
        </w:numPr>
      </w:pPr>
      <w:r>
        <w:t xml:space="preserve">With age, adipocytes replace secretory cells and can make up</w:t>
      </w:r>
      <w:r>
        <w:t xml:space="preserve"> </w:t>
      </w:r>
      <w:r>
        <w:rPr>
          <w:b/>
          <w:bCs/>
        </w:rPr>
        <w:t xml:space="preserve">more than half</w:t>
      </w:r>
      <w:r>
        <w:t xml:space="preserve"> </w:t>
      </w:r>
      <w:r>
        <w:t xml:space="preserve">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w:t>
      </w:r>
      <w:r>
        <w:t xml:space="preserve"> </w:t>
      </w:r>
      <w:r>
        <w:rPr>
          <w:b/>
          <w:bCs/>
        </w:rPr>
        <w:t xml:space="preserve">no adipocytes</w:t>
      </w:r>
      <w:r>
        <w:t xml:space="preserv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(three orientations; accommodation) and about</w:t>
      </w:r>
      <w:r>
        <w:t xml:space="preserve"> </w:t>
      </w:r>
      <w:r>
        <w:rPr>
          <w:b/>
          <w:bCs/>
        </w:rPr>
        <w:t xml:space="preserve">75 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w:t>
      </w:r>
      <w:r>
        <w:t xml:space="preserve"> </w:t>
      </w:r>
      <w:r>
        <w:rPr>
          <w:b/>
          <w:bCs/>
        </w:rPr>
        <w:t xml:space="preserve">about 3,500 inner hair cells in one row</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3,500 inner hair cells in one row.</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Each figure is listed with the subject its caption names. Cover the caption, say what the figure shows and the one structural feature that gives it away, then check. Figure numbers are those printed in the textbook.</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Basement membrane = lamina lucida, densa, reticularis.</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apocrine.</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w:t>
      </w:r>
      <w:r>
        <w:t xml:space="preserve"> </w:t>
      </w:r>
      <w:r>
        <w:rPr>
          <w:b/>
          <w:bCs/>
        </w:rPr>
        <w:t xml:space="preserve">Appendix A</w:t>
      </w:r>
      <w:r>
        <w:t xml:space="preserve"> </w:t>
      </w:r>
      <w:r>
        <w:t xml:space="preserve">in Part VI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is electron-microscope resolution.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Tight junctions are not a component of intercalated discs.</w:t>
      </w:r>
      <w:r>
        <w:t xml:space="preserve"> </w:t>
      </w:r>
      <w:r>
        <w:rPr>
          <w:b/>
          <w:bCs/>
        </w:rPr>
        <w:t xml:space="preserve">Trap:</w:t>
      </w:r>
      <w:r>
        <w:t xml:space="preserve"> </w:t>
      </w:r>
      <w:r>
        <w:t xml:space="preserve">A, B, and C are all present. Tight junctions are not a component of the intercalated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cardiac diads. D is the middle of the sarcomere. A is within the B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B, D, and A are not the normal adult ratio.</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D and A have few. C has none.</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C and D are lined by other cells. B is a serous membrane.</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2026-10-20T16:21:45Z</dcterms:created>
  <dcterms:modified xsi:type="dcterms:W3CDTF">2026-10-20T16:21:45Z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