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Exam-style question</w:t>
            </w:r>
          </w:p>
        </w:tc>
        <w:tc>
          <w:tcPr/>
          <w:p>
            <w:pPr>
              <w:pStyle w:val="Compact"/>
            </w:pPr>
            <w:r>
              <w:t xml:space="preserve">One worked MCQ with an explained answer</w:t>
            </w:r>
          </w:p>
        </w:tc>
      </w:tr>
      <w:tr>
        <w:tc>
          <w:tcPr/>
          <w:p>
            <w:pPr>
              <w:pStyle w:val="Compact"/>
            </w:pPr>
            <w:r>
              <w:rPr>
                <w:b/>
                <w:bCs/>
              </w:rPr>
              <w:t xml:space="preserve">Plates to study</w:t>
            </w:r>
          </w:p>
        </w:tc>
        <w:tc>
          <w:tcPr/>
          <w:p>
            <w:pPr>
              <w:pStyle w:val="Compact"/>
            </w:pPr>
            <w:r>
              <w:t xml:space="preserve">Four to six textbook figures, each with a specific structure or distinction to find</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Scope and independence.</w:t>
      </w:r>
      <w:r>
        <w:t xml:space="preserve"> </w:t>
      </w:r>
      <w:r>
        <w:t xml:space="preserve">This is an independent study companion. It is not authorized, sponsored, or endorsed by the author or the publisher, it does not reproduce any plate or figure from the textbook, and it is not a substitute for the textbook or for a histology course. Figure numbers are given so that you can open the corresponding plate in your own copy.</w:t>
      </w:r>
    </w:p>
    <w:p>
      <w:pPr>
        <w:pStyle w:val="BodyText"/>
      </w:pPr>
      <w:r>
        <w:rPr>
          <w:b/>
          <w:bCs/>
        </w:rPr>
        <w:t xml:space="preserve">What the CLINICAL boxes are.</w:t>
      </w:r>
      <w:r>
        <w:t xml:space="preserve"> </w:t>
      </w:r>
      <w:r>
        <w:t xml:space="preserve">Some name diseases the book itself discusses; others are standard clinical correlates that the book does not cover, included to show why the histology matters. Treat them as orientation, not as claims about the textbook’s contents.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keeps the features that make the book useful for revision: a</w:t>
      </w:r>
      <w:r>
        <w:t xml:space="preserve"> </w:t>
      </w:r>
      <w:r>
        <w:rPr>
          <w:b/>
          <w:bCs/>
        </w:rPr>
        <w:t xml:space="preserve">concise text</w:t>
      </w:r>
      <w:r>
        <w:t xml:space="preserve">,</w:t>
      </w:r>
      <w:r>
        <w:t xml:space="preserve"> </w:t>
      </w:r>
      <w:r>
        <w:rPr>
          <w:b/>
          <w:bCs/>
        </w:rPr>
        <w:t xml:space="preserve">clear photomicrographs and labeled illustrations</w:t>
      </w:r>
      <w:r>
        <w:t xml:space="preserve">, and a consistent chapter structure. Three features matter most for examination preparation:</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r>
        <w:tc>
          <w:tcPr/>
          <w:p>
            <w:pPr>
              <w:pStyle w:val="Compact"/>
            </w:pPr>
            <w:r>
              <w:t xml:space="preserve">24</w:t>
            </w:r>
          </w:p>
        </w:tc>
        <w:tc>
          <w:tcPr/>
          <w:p>
            <w:pPr>
              <w:pStyle w:val="Compact"/>
            </w:pPr>
            <w:r>
              <w:t xml:space="preserve">The Last-24-Hours Rapid Review</w:t>
            </w:r>
          </w:p>
        </w:tc>
        <w:tc>
          <w:tcPr/>
          <w:p>
            <w:pPr>
              <w:pStyle w:val="Compact"/>
            </w:pPr>
            <w:r>
              <w:t xml:space="preserve">synthesis of Chapters 1–23</w:t>
            </w:r>
          </w:p>
        </w:tc>
        <w:tc>
          <w:tcPr/>
          <w:p>
            <w:pPr>
              <w:pStyle w:val="Compact"/>
            </w:pPr>
            <w:r>
              <w:t xml:space="preserve">VI</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Start with the artefact problem:</w:t>
      </w:r>
      <w:r>
        <w:t xml:space="preserve"> </w:t>
      </w:r>
      <w:r>
        <w:rPr>
          <w:b/>
          <w:bCs/>
        </w:rPr>
        <w:t xml:space="preserve">1–1</w:t>
      </w:r>
      <w:r>
        <w:t xml:space="preserve"> </w:t>
      </w:r>
      <w:r>
        <w:t xml:space="preserve">shows what sectioning does to a block,</w:t>
      </w:r>
      <w:r>
        <w:t xml:space="preserve"> </w:t>
      </w:r>
      <w:r>
        <w:rPr>
          <w:b/>
          <w:bCs/>
        </w:rPr>
        <w:t xml:space="preserve">1–14</w:t>
      </w:r>
      <w:r>
        <w:t xml:space="preserve"> </w:t>
      </w:r>
      <w:r>
        <w:t xml:space="preserve">what a two-dimensional cut does to a three-dimensional structure. Then compare what each method can reveal — fluorescence (</w:t>
      </w:r>
      <w:r>
        <w:rPr>
          <w:b/>
          <w:bCs/>
        </w:rPr>
        <w:t xml:space="preserve">1–4</w:t>
      </w:r>
      <w:r>
        <w:t xml:space="preserve">), confocal optical sections (</w:t>
      </w:r>
      <w:r>
        <w:rPr>
          <w:b/>
          <w:bCs/>
        </w:rPr>
        <w:t xml:space="preserve">1–6</w:t>
      </w:r>
      <w:r>
        <w:t xml:space="preserve">), autoradiography (</w:t>
      </w:r>
      <w:r>
        <w:rPr>
          <w:b/>
          <w:bCs/>
        </w:rPr>
        <w:t xml:space="preserve">1–9</w:t>
      </w:r>
      <w:r>
        <w:t xml:space="preserve">), immunocytochemistry (</w:t>
      </w:r>
      <w:r>
        <w:rPr>
          <w:b/>
          <w:bCs/>
        </w:rPr>
        <w:t xml:space="preserve">1–11</w:t>
      </w:r>
      <w:r>
        <w:t xml:space="preserve">).</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classically passive and inflammatory, though some lytic death programmes are regulated.</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Match each organelle to its image: membrane structure (</w:t>
      </w:r>
      <w:r>
        <w:rPr>
          <w:b/>
          <w:bCs/>
        </w:rPr>
        <w:t xml:space="preserve">2–1</w:t>
      </w:r>
      <w:r>
        <w:t xml:space="preserve">), endocytosis (</w:t>
      </w:r>
      <w:r>
        <w:rPr>
          <w:b/>
          <w:bCs/>
        </w:rPr>
        <w:t xml:space="preserve">2–6</w:t>
      </w:r>
      <w:r>
        <w:t xml:space="preserve">), protein sorting (</w:t>
      </w:r>
      <w:r>
        <w:rPr>
          <w:b/>
          <w:bCs/>
        </w:rPr>
        <w:t xml:space="preserve">2–12</w:t>
      </w:r>
      <w:r>
        <w:t xml:space="preserve">), lysosomes (</w:t>
      </w:r>
      <w:r>
        <w:rPr>
          <w:b/>
          <w:bCs/>
        </w:rPr>
        <w:t xml:space="preserve">2–17</w:t>
      </w:r>
      <w:r>
        <w:t xml:space="preserve">), microtubule dynamics (</w:t>
      </w:r>
      <w:r>
        <w:rPr>
          <w:b/>
          <w:bCs/>
        </w:rPr>
        <w:t xml:space="preserve">2–23</w:t>
      </w:r>
      <w:r>
        <w:t xml:space="preserve">). Use</w:t>
      </w:r>
      <w:r>
        <w:t xml:space="preserve"> </w:t>
      </w:r>
      <w:r>
        <w:rPr>
          <w:b/>
          <w:bCs/>
        </w:rPr>
        <w:t xml:space="preserve">2–28</w:t>
      </w:r>
      <w:r>
        <w:t xml:space="preserve"> </w:t>
      </w:r>
      <w:r>
        <w:t xml:space="preserve">to test whether you can name an inclusion from its appearance alone.</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1.75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about half of human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Read nuclear texture as a function:</w:t>
      </w:r>
      <w:r>
        <w:t xml:space="preserve"> </w:t>
      </w:r>
      <w:r>
        <w:rPr>
          <w:b/>
          <w:bCs/>
        </w:rPr>
        <w:t xml:space="preserve">3–1</w:t>
      </w:r>
      <w:r>
        <w:t xml:space="preserve"> </w:t>
      </w:r>
      <w:r>
        <w:t xml:space="preserve">contrasts active nuclei,</w:t>
      </w:r>
      <w:r>
        <w:t xml:space="preserve"> </w:t>
      </w:r>
      <w:r>
        <w:rPr>
          <w:b/>
          <w:bCs/>
        </w:rPr>
        <w:t xml:space="preserve">3–5</w:t>
      </w:r>
      <w:r>
        <w:t xml:space="preserve"> </w:t>
      </w:r>
      <w:r>
        <w:t xml:space="preserve">shows pores,</w:t>
      </w:r>
      <w:r>
        <w:t xml:space="preserve"> </w:t>
      </w:r>
      <w:r>
        <w:rPr>
          <w:b/>
          <w:bCs/>
        </w:rPr>
        <w:t xml:space="preserve">3–9</w:t>
      </w:r>
      <w:r>
        <w:t xml:space="preserve"> </w:t>
      </w:r>
      <w:r>
        <w:t xml:space="preserve">chromosome territories,</w:t>
      </w:r>
      <w:r>
        <w:t xml:space="preserve"> </w:t>
      </w:r>
      <w:r>
        <w:rPr>
          <w:b/>
          <w:bCs/>
        </w:rPr>
        <w:t xml:space="preserve">3–12</w:t>
      </w:r>
      <w:r>
        <w:t xml:space="preserve"> </w:t>
      </w:r>
      <w:r>
        <w:t xml:space="preserve">the cycle,</w:t>
      </w:r>
      <w:r>
        <w:t xml:space="preserve"> </w:t>
      </w:r>
      <w:r>
        <w:rPr>
          <w:b/>
          <w:bCs/>
        </w:rPr>
        <w:t xml:space="preserve">3–16</w:t>
      </w:r>
      <w:r>
        <w:t xml:space="preserve"> </w:t>
      </w:r>
      <w:r>
        <w:t xml:space="preserve">mitotic figures. In</w:t>
      </w:r>
      <w:r>
        <w:t xml:space="preserve"> </w:t>
      </w:r>
      <w:r>
        <w:rPr>
          <w:b/>
          <w:bCs/>
        </w:rPr>
        <w:t xml:space="preserve">3–20</w:t>
      </w:r>
      <w:r>
        <w:t xml:space="preserve">, distinguish apoptotic bodies from necrotic debris.</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normally consists of connective tissue</w:t>
      </w:r>
      <w:r>
        <w:t xml:space="preserve">, which is why the CNS has no connective-tissue framework of its own.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normally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Begin with</w:t>
      </w:r>
      <w:r>
        <w:t xml:space="preserve"> </w:t>
      </w:r>
      <w:r>
        <w:rPr>
          <w:b/>
          <w:bCs/>
        </w:rPr>
        <w:t xml:space="preserve">4–1</w:t>
      </w:r>
      <w:r>
        <w:t xml:space="preserve">: name the epithelium, then find the basal lamina and the connective tissue beneath. Use</w:t>
      </w:r>
      <w:r>
        <w:t xml:space="preserve"> </w:t>
      </w:r>
      <w:r>
        <w:rPr>
          <w:b/>
          <w:bCs/>
        </w:rPr>
        <w:t xml:space="preserve">4–6</w:t>
      </w:r>
      <w:r>
        <w:t xml:space="preserve"> </w:t>
      </w:r>
      <w:r>
        <w:t xml:space="preserve">for junction structure,</w:t>
      </w:r>
      <w:r>
        <w:t xml:space="preserve"> </w:t>
      </w:r>
      <w:r>
        <w:rPr>
          <w:b/>
          <w:bCs/>
        </w:rPr>
        <w:t xml:space="preserve">4–12</w:t>
      </w:r>
      <w:r>
        <w:t xml:space="preserve"> </w:t>
      </w:r>
      <w:r>
        <w:t xml:space="preserve">versus</w:t>
      </w:r>
      <w:r>
        <w:t xml:space="preserve"> </w:t>
      </w:r>
      <w:r>
        <w:rPr>
          <w:b/>
          <w:bCs/>
        </w:rPr>
        <w:t xml:space="preserve">4–17</w:t>
      </w:r>
      <w:r>
        <w:t xml:space="preserve"> </w:t>
      </w:r>
      <w:r>
        <w:t xml:space="preserve">for simple versus pseudostratified,</w:t>
      </w:r>
      <w:r>
        <w:t xml:space="preserve"> </w:t>
      </w:r>
      <w:r>
        <w:rPr>
          <w:b/>
          <w:bCs/>
        </w:rPr>
        <w:t xml:space="preserve">4–23</w:t>
      </w:r>
      <w:r>
        <w:t xml:space="preserve"> </w:t>
      </w:r>
      <w:r>
        <w:t xml:space="preserve">for apocrine secretion,</w:t>
      </w:r>
      <w:r>
        <w:t xml:space="preserve"> </w:t>
      </w:r>
      <w:r>
        <w:rPr>
          <w:b/>
          <w:bCs/>
        </w:rPr>
        <w:t xml:space="preserve">4–28</w:t>
      </w:r>
      <w:r>
        <w:t xml:space="preserve"> </w:t>
      </w:r>
      <w:r>
        <w:t xml:space="preserve">for the apical specializations of an absorptive cell.</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Use these to separate matrix from cells: mesenchyme (</w:t>
      </w:r>
      <w:r>
        <w:rPr>
          <w:b/>
          <w:bCs/>
        </w:rPr>
        <w:t xml:space="preserve">5–1</w:t>
      </w:r>
      <w:r>
        <w:t xml:space="preserve">), mast cells (</w:t>
      </w:r>
      <w:r>
        <w:rPr>
          <w:b/>
          <w:bCs/>
        </w:rPr>
        <w:t xml:space="preserve">5–5</w:t>
      </w:r>
      <w:r>
        <w:t xml:space="preserve">), collagen assembly (</w:t>
      </w:r>
      <w:r>
        <w:rPr>
          <w:b/>
          <w:bCs/>
        </w:rPr>
        <w:t xml:space="preserve">5–9</w:t>
      </w:r>
      <w:r>
        <w:t xml:space="preserve">), elastogenesis (</w:t>
      </w:r>
      <w:r>
        <w:rPr>
          <w:b/>
          <w:bCs/>
        </w:rPr>
        <w:t xml:space="preserve">5–14</w:t>
      </w:r>
      <w:r>
        <w:t xml:space="preserve">), mucoid tissue (</w:t>
      </w:r>
      <w:r>
        <w:rPr>
          <w:b/>
          <w:bCs/>
        </w:rPr>
        <w:t xml:space="preserve">5–22</w:t>
      </w:r>
      <w:r>
        <w:t xml:space="preserve">). In</w:t>
      </w:r>
      <w:r>
        <w:t xml:space="preserve"> </w:t>
      </w:r>
      <w:r>
        <w:rPr>
          <w:b/>
          <w:bCs/>
        </w:rPr>
        <w:t xml:space="preserve">5–18</w:t>
      </w:r>
      <w:r>
        <w:t xml:space="preserve">, follow fluid movement and ask which compartment is continuous with the blood.</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Four figures, four ideas: unilocular adipocytes (</w:t>
      </w:r>
      <w:r>
        <w:rPr>
          <w:b/>
          <w:bCs/>
        </w:rPr>
        <w:t xml:space="preserve">6–1</w:t>
      </w:r>
      <w:r>
        <w:t xml:space="preserve">), storage and mobilization (</w:t>
      </w:r>
      <w:r>
        <w:rPr>
          <w:b/>
          <w:bCs/>
        </w:rPr>
        <w:t xml:space="preserve">6–2</w:t>
      </w:r>
      <w:r>
        <w:t xml:space="preserve">), the two developmental routes (</w:t>
      </w:r>
      <w:r>
        <w:rPr>
          <w:b/>
          <w:bCs/>
        </w:rPr>
        <w:t xml:space="preserve">6–3</w:t>
      </w:r>
      <w:r>
        <w:t xml:space="preserve">), and brown fat with its multilocular cells and dense mitochondria (</w:t>
      </w:r>
      <w:r>
        <w:rPr>
          <w:b/>
          <w:bCs/>
        </w:rPr>
        <w:t xml:space="preserve">6–4</w:t>
      </w:r>
      <w:r>
        <w:t xml:space="preserve">).</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The absence of vessels explains both its durability under load and its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Compare the cartilage types by matrix and cell arrangement (</w:t>
      </w:r>
      <w:r>
        <w:rPr>
          <w:b/>
          <w:bCs/>
        </w:rPr>
        <w:t xml:space="preserve">7–3</w:t>
      </w:r>
      <w:r>
        <w:t xml:space="preserve"> </w:t>
      </w:r>
      <w:r>
        <w:t xml:space="preserve">hyaline,</w:t>
      </w:r>
      <w:r>
        <w:t xml:space="preserve"> </w:t>
      </w:r>
      <w:r>
        <w:rPr>
          <w:b/>
          <w:bCs/>
        </w:rPr>
        <w:t xml:space="preserve">7–5</w:t>
      </w:r>
      <w:r>
        <w:t xml:space="preserve"> </w:t>
      </w:r>
      <w:r>
        <w:t xml:space="preserve">fibrocartilage), then trace chondrogenesis (</w:t>
      </w:r>
      <w:r>
        <w:rPr>
          <w:b/>
          <w:bCs/>
        </w:rPr>
        <w:t xml:space="preserve">7–6</w:t>
      </w:r>
      <w:r>
        <w:t xml:space="preserve">) and growth (</w:t>
      </w:r>
      <w:r>
        <w:rPr>
          <w:b/>
          <w:bCs/>
        </w:rPr>
        <w:t xml:space="preserve">7–7</w:t>
      </w:r>
      <w:r>
        <w:t xml:space="preserve">). Use</w:t>
      </w:r>
      <w:r>
        <w:t xml:space="preserve"> </w:t>
      </w:r>
      <w:r>
        <w:rPr>
          <w:b/>
          <w:bCs/>
        </w:rPr>
        <w:t xml:space="preserve">7–1</w:t>
      </w:r>
      <w:r>
        <w:t xml:space="preserve"> </w:t>
      </w:r>
      <w:r>
        <w:t xml:space="preserve">to place each type in the body and</w:t>
      </w:r>
      <w:r>
        <w:t xml:space="preserve"> </w:t>
      </w:r>
      <w:r>
        <w:rPr>
          <w:b/>
          <w:bCs/>
        </w:rPr>
        <w:t xml:space="preserve">7–2</w:t>
      </w:r>
      <w:r>
        <w:t xml:space="preserve"> </w:t>
      </w:r>
      <w:r>
        <w:t xml:space="preserve">to name the matrix components.</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Work from cell to organ: osteocytes in lacunae (</w:t>
      </w:r>
      <w:r>
        <w:rPr>
          <w:b/>
          <w:bCs/>
        </w:rPr>
        <w:t xml:space="preserve">8–5</w:t>
      </w:r>
      <w:r>
        <w:t xml:space="preserve">), lamellar architecture and perforating canals (</w:t>
      </w:r>
      <w:r>
        <w:rPr>
          <w:b/>
          <w:bCs/>
        </w:rPr>
        <w:t xml:space="preserve">8–10</w:t>
      </w:r>
      <w:r>
        <w:t xml:space="preserve">), endochondral ossification (</w:t>
      </w:r>
      <w:r>
        <w:rPr>
          <w:b/>
          <w:bCs/>
        </w:rPr>
        <w:t xml:space="preserve">8–14</w:t>
      </w:r>
      <w:r>
        <w:t xml:space="preserve">), fracture repair (</w:t>
      </w:r>
      <w:r>
        <w:rPr>
          <w:b/>
          <w:bCs/>
        </w:rPr>
        <w:t xml:space="preserve">8–19</w:t>
      </w:r>
      <w:r>
        <w:t xml:space="preserve">), articular cartilage (</w:t>
      </w:r>
      <w:r>
        <w:rPr>
          <w:b/>
          <w:bCs/>
        </w:rPr>
        <w:t xml:space="preserve">8–23</w:t>
      </w:r>
      <w:r>
        <w:t xml:space="preserve">). For each, state which cell type is doing the work.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Use</w:t>
      </w:r>
      <w:r>
        <w:t xml:space="preserve"> </w:t>
      </w:r>
      <w:r>
        <w:rPr>
          <w:b/>
          <w:bCs/>
        </w:rPr>
        <w:t xml:space="preserve">9–1</w:t>
      </w:r>
      <w:r>
        <w:t xml:space="preserve"> </w:t>
      </w:r>
      <w:r>
        <w:t xml:space="preserve">for the overall plan,</w:t>
      </w:r>
      <w:r>
        <w:t xml:space="preserve"> </w:t>
      </w:r>
      <w:r>
        <w:rPr>
          <w:b/>
          <w:bCs/>
        </w:rPr>
        <w:t xml:space="preserve">9–7</w:t>
      </w:r>
      <w:r>
        <w:t xml:space="preserve"> </w:t>
      </w:r>
      <w:r>
        <w:t xml:space="preserve">to classify synapses,</w:t>
      </w:r>
      <w:r>
        <w:t xml:space="preserve"> </w:t>
      </w:r>
      <w:r>
        <w:rPr>
          <w:b/>
          <w:bCs/>
        </w:rPr>
        <w:t xml:space="preserve">9–18</w:t>
      </w:r>
      <w:r>
        <w:t xml:space="preserve"> </w:t>
      </w:r>
      <w:r>
        <w:t xml:space="preserve">for cord and meninges,</w:t>
      </w:r>
      <w:r>
        <w:t xml:space="preserve"> </w:t>
      </w:r>
      <w:r>
        <w:rPr>
          <w:b/>
          <w:bCs/>
        </w:rPr>
        <w:t xml:space="preserve">9–24</w:t>
      </w:r>
      <w:r>
        <w:t xml:space="preserve"> </w:t>
      </w:r>
      <w:r>
        <w:t xml:space="preserve">for the node of Ranvier,</w:t>
      </w:r>
      <w:r>
        <w:t xml:space="preserve"> </w:t>
      </w:r>
      <w:r>
        <w:rPr>
          <w:b/>
          <w:bCs/>
        </w:rPr>
        <w:t xml:space="preserve">9–30</w:t>
      </w:r>
      <w:r>
        <w:t xml:space="preserve"> </w:t>
      </w:r>
      <w:r>
        <w:t xml:space="preserve">for regeneration. In</w:t>
      </w:r>
      <w:r>
        <w:t xml:space="preserve"> </w:t>
      </w:r>
      <w:r>
        <w:rPr>
          <w:b/>
          <w:bCs/>
        </w:rPr>
        <w:t xml:space="preserve">9–13</w:t>
      </w:r>
      <w:r>
        <w:t xml:space="preserve">, distinguish satellite cells from the neurons they surround.</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Compare the three muscle types first (</w:t>
      </w:r>
      <w:r>
        <w:rPr>
          <w:b/>
          <w:bCs/>
        </w:rPr>
        <w:t xml:space="preserve">10–1</w:t>
      </w:r>
      <w:r>
        <w:t xml:space="preserve">), then the sarcomere (</w:t>
      </w:r>
      <w:r>
        <w:rPr>
          <w:b/>
          <w:bCs/>
        </w:rPr>
        <w:t xml:space="preserve">10–9</w:t>
      </w:r>
      <w:r>
        <w:t xml:space="preserve">,</w:t>
      </w:r>
      <w:r>
        <w:t xml:space="preserve"> </w:t>
      </w:r>
      <w:r>
        <w:rPr>
          <w:b/>
          <w:bCs/>
        </w:rPr>
        <w:t xml:space="preserve">10–12</w:t>
      </w:r>
      <w:r>
        <w:t xml:space="preserve">), the intercalated disc (</w:t>
      </w:r>
      <w:r>
        <w:rPr>
          <w:b/>
          <w:bCs/>
        </w:rPr>
        <w:t xml:space="preserve">10–16</w:t>
      </w:r>
      <w:r>
        <w:t xml:space="preserve">), and the smooth-muscle contractile apparatus (</w:t>
      </w:r>
      <w:r>
        <w:rPr>
          <w:b/>
          <w:bCs/>
        </w:rPr>
        <w:t xml:space="preserve">10–20</w:t>
      </w:r>
      <w:r>
        <w:t xml:space="preserve">). Use</w:t>
      </w:r>
      <w:r>
        <w:t xml:space="preserve"> </w:t>
      </w:r>
      <w:r>
        <w:rPr>
          <w:b/>
          <w:bCs/>
        </w:rPr>
        <w:t xml:space="preserve">10–5</w:t>
      </w:r>
      <w:r>
        <w:t xml:space="preserve"> </w:t>
      </w:r>
      <w:r>
        <w:t xml:space="preserve">to see the capillary relationship behind the fibre’s oxygen supply.</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Use</w:t>
      </w:r>
      <w:r>
        <w:t xml:space="preserve"> </w:t>
      </w:r>
      <w:r>
        <w:rPr>
          <w:b/>
          <w:bCs/>
        </w:rPr>
        <w:t xml:space="preserve">11–1</w:t>
      </w:r>
      <w:r>
        <w:t xml:space="preserve"> </w:t>
      </w:r>
      <w:r>
        <w:t xml:space="preserve">to place the circuit,</w:t>
      </w:r>
      <w:r>
        <w:t xml:space="preserve"> </w:t>
      </w:r>
      <w:r>
        <w:rPr>
          <w:b/>
          <w:bCs/>
        </w:rPr>
        <w:t xml:space="preserve">11–6</w:t>
      </w:r>
      <w:r>
        <w:t xml:space="preserve"> </w:t>
      </w:r>
      <w:r>
        <w:t xml:space="preserve">to compare artery and vein walls layer by layer,</w:t>
      </w:r>
      <w:r>
        <w:t xml:space="preserve"> </w:t>
      </w:r>
      <w:r>
        <w:rPr>
          <w:b/>
          <w:bCs/>
        </w:rPr>
        <w:t xml:space="preserve">11–11</w:t>
      </w:r>
      <w:r>
        <w:t xml:space="preserve"> </w:t>
      </w:r>
      <w:r>
        <w:t xml:space="preserve">for a muscular artery,</w:t>
      </w:r>
      <w:r>
        <w:t xml:space="preserve"> </w:t>
      </w:r>
      <w:r>
        <w:rPr>
          <w:b/>
          <w:bCs/>
        </w:rPr>
        <w:t xml:space="preserve">11–20</w:t>
      </w:r>
      <w:r>
        <w:t xml:space="preserve"> </w:t>
      </w:r>
      <w:r>
        <w:t xml:space="preserve">for a sinusoid,</w:t>
      </w:r>
      <w:r>
        <w:t xml:space="preserve"> </w:t>
      </w:r>
      <w:r>
        <w:rPr>
          <w:b/>
          <w:bCs/>
        </w:rPr>
        <w:t xml:space="preserve">11–25</w:t>
      </w:r>
      <w:r>
        <w:t xml:space="preserve"> </w:t>
      </w:r>
      <w:r>
        <w:t xml:space="preserve">for a lymphatic valve. In</w:t>
      </w:r>
      <w:r>
        <w:t xml:space="preserve"> </w:t>
      </w:r>
      <w:r>
        <w:rPr>
          <w:b/>
          <w:bCs/>
        </w:rPr>
        <w:t xml:space="preserve">11–15</w:t>
      </w:r>
      <w:r>
        <w:t xml:space="preserve">, trace the two routes through a microvascular bed.</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All three granulocytes are</w:t>
      </w:r>
      <w:r>
        <w:t xml:space="preserve"> </w:t>
      </w:r>
      <w:r>
        <w:rPr>
          <w:b/>
          <w:bCs/>
        </w:rPr>
        <w:t xml:space="preserve">12–15 µm</w:t>
      </w:r>
      <w:r>
        <w:t xml:space="preserve">. The smallest lymphocytes are about the size of a red cell, and medium and large lymphocytes are</w:t>
      </w:r>
      <w:r>
        <w:t xml:space="preserve"> </w:t>
      </w:r>
      <w:r>
        <w:rPr>
          <w:b/>
          <w:bCs/>
        </w:rPr>
        <w:t xml:space="preserve">9–18 µm</w:t>
      </w:r>
      <w:r>
        <w:t xml:space="preserve">; monocytes are</w:t>
      </w:r>
      <w:r>
        <w:t xml:space="preserve"> </w:t>
      </w:r>
      <w:r>
        <w:rPr>
          <w:b/>
          <w:bCs/>
        </w:rPr>
        <w:t xml:space="preserve">12–20 µm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t xml:space="preserve">smallest ≈ red cell;</w:t>
            </w:r>
            <w:r>
              <w:t xml:space="preserve"> </w:t>
            </w:r>
            <w:r>
              <w:rPr>
                <w:b/>
                <w:bCs/>
              </w:rPr>
              <w:t xml:space="preserve">9–18 µm</w:t>
            </w:r>
            <w:r>
              <w:t xml:space="preserve"> </w:t>
            </w:r>
            <w:r>
              <w:t xml:space="preserve">(medium,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(~50–70%);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four steps of hemostasis?</w:t>
      </w:r>
      <w:r>
        <w:t xml:space="preserve"> </w:t>
      </w:r>
      <w:r>
        <w:t xml:space="preserve">— Vascular spasm, primary hemostasis (platelet plug), coagulation (fibrin clot), and clot retraction with repair.</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Begin with</w:t>
      </w:r>
      <w:r>
        <w:t xml:space="preserve"> </w:t>
      </w:r>
      <w:r>
        <w:rPr>
          <w:b/>
          <w:bCs/>
        </w:rPr>
        <w:t xml:space="preserve">12–1</w:t>
      </w:r>
      <w:r>
        <w:t xml:space="preserve"> </w:t>
      </w:r>
      <w:r>
        <w:t xml:space="preserve">to relate the layers of a centrifuged sample to the formed elements. Then use</w:t>
      </w:r>
      <w:r>
        <w:t xml:space="preserve"> </w:t>
      </w:r>
      <w:r>
        <w:rPr>
          <w:b/>
          <w:bCs/>
        </w:rPr>
        <w:t xml:space="preserve">12–4</w:t>
      </w:r>
      <w:r>
        <w:t xml:space="preserve"> </w:t>
      </w:r>
      <w:r>
        <w:t xml:space="preserve">for erythrocyte shape,</w:t>
      </w:r>
      <w:r>
        <w:t xml:space="preserve"> </w:t>
      </w:r>
      <w:r>
        <w:rPr>
          <w:b/>
          <w:bCs/>
        </w:rPr>
        <w:t xml:space="preserve">12–6</w:t>
      </w:r>
      <w:r>
        <w:t xml:space="preserve"> </w:t>
      </w:r>
      <w:r>
        <w:t xml:space="preserve">for leukocyte emigration,</w:t>
      </w:r>
      <w:r>
        <w:t xml:space="preserve"> </w:t>
      </w:r>
      <w:r>
        <w:rPr>
          <w:b/>
          <w:bCs/>
        </w:rPr>
        <w:t xml:space="preserve">12–9</w:t>
      </w:r>
      <w:r>
        <w:t xml:space="preserve"> </w:t>
      </w:r>
      <w:r>
        <w:t xml:space="preserve">and</w:t>
      </w:r>
      <w:r>
        <w:t xml:space="preserve"> </w:t>
      </w:r>
      <w:r>
        <w:rPr>
          <w:b/>
          <w:bCs/>
        </w:rPr>
        <w:t xml:space="preserve">12–11</w:t>
      </w:r>
      <w:r>
        <w:t xml:space="preserve"> </w:t>
      </w:r>
      <w:r>
        <w:t xml:space="preserve">to separate granulocyte from agranulocyte nuclei, and</w:t>
      </w:r>
      <w:r>
        <w:t xml:space="preserve"> </w:t>
      </w:r>
      <w:r>
        <w:rPr>
          <w:b/>
          <w:bCs/>
        </w:rPr>
        <w:t xml:space="preserve">12–14</w:t>
      </w:r>
      <w:r>
        <w:t xml:space="preserve"> </w:t>
      </w:r>
      <w:r>
        <w:t xml:space="preserve">for the platelet plug.</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Use</w:t>
      </w:r>
      <w:r>
        <w:t xml:space="preserve"> </w:t>
      </w:r>
      <w:r>
        <w:rPr>
          <w:b/>
          <w:bCs/>
        </w:rPr>
        <w:t xml:space="preserve">13–1</w:t>
      </w:r>
      <w:r>
        <w:t xml:space="preserve"> </w:t>
      </w:r>
      <w:r>
        <w:t xml:space="preserve">to follow where hemopoiesis moves during development,</w:t>
      </w:r>
      <w:r>
        <w:t xml:space="preserve"> </w:t>
      </w:r>
      <w:r>
        <w:rPr>
          <w:b/>
          <w:bCs/>
        </w:rPr>
        <w:t xml:space="preserve">13–4</w:t>
      </w:r>
      <w:r>
        <w:t xml:space="preserve"> </w:t>
      </w:r>
      <w:r>
        <w:t xml:space="preserve">for marrow architecture,</w:t>
      </w:r>
      <w:r>
        <w:t xml:space="preserve"> </w:t>
      </w:r>
      <w:r>
        <w:rPr>
          <w:b/>
          <w:bCs/>
        </w:rPr>
        <w:t xml:space="preserve">13–6</w:t>
      </w:r>
      <w:r>
        <w:t xml:space="preserve"> </w:t>
      </w:r>
      <w:r>
        <w:t xml:space="preserve">for the erythroid series in order,</w:t>
      </w:r>
      <w:r>
        <w:t xml:space="preserve"> </w:t>
      </w:r>
      <w:r>
        <w:rPr>
          <w:b/>
          <w:bCs/>
        </w:rPr>
        <w:t xml:space="preserve">13–11</w:t>
      </w:r>
      <w:r>
        <w:t xml:space="preserve"> </w:t>
      </w:r>
      <w:r>
        <w:t xml:space="preserve">for a single maturing granulocyte,</w:t>
      </w:r>
      <w:r>
        <w:t xml:space="preserve"> </w:t>
      </w:r>
      <w:r>
        <w:rPr>
          <w:b/>
          <w:bCs/>
        </w:rPr>
        <w:t xml:space="preserve">13–14</w:t>
      </w:r>
      <w:r>
        <w:t xml:space="preserve"> </w:t>
      </w:r>
      <w:r>
        <w:t xml:space="preserve">for platelet production. Name each cell by its stage, not its size.</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Use</w:t>
      </w:r>
      <w:r>
        <w:t xml:space="preserve"> </w:t>
      </w:r>
      <w:r>
        <w:rPr>
          <w:b/>
          <w:bCs/>
        </w:rPr>
        <w:t xml:space="preserve">14–1</w:t>
      </w:r>
      <w:r>
        <w:t xml:space="preserve"> </w:t>
      </w:r>
      <w:r>
        <w:t xml:space="preserve">to place the organs and their lymphatic connections,</w:t>
      </w:r>
      <w:r>
        <w:t xml:space="preserve"> </w:t>
      </w:r>
      <w:r>
        <w:rPr>
          <w:b/>
          <w:bCs/>
        </w:rPr>
        <w:t xml:space="preserve">14–16</w:t>
      </w:r>
      <w:r>
        <w:t xml:space="preserve"> </w:t>
      </w:r>
      <w:r>
        <w:t xml:space="preserve">for the three regions of a lymph node,</w:t>
      </w:r>
      <w:r>
        <w:t xml:space="preserve"> </w:t>
      </w:r>
      <w:r>
        <w:rPr>
          <w:b/>
          <w:bCs/>
        </w:rPr>
        <w:t xml:space="preserve">14–21</w:t>
      </w:r>
      <w:r>
        <w:t xml:space="preserve"> </w:t>
      </w:r>
      <w:r>
        <w:t xml:space="preserve">for spleen,</w:t>
      </w:r>
      <w:r>
        <w:t xml:space="preserve"> </w:t>
      </w:r>
      <w:r>
        <w:rPr>
          <w:b/>
          <w:bCs/>
        </w:rPr>
        <w:t xml:space="preserve">14–11</w:t>
      </w:r>
      <w:r>
        <w:t xml:space="preserve"> </w:t>
      </w:r>
      <w:r>
        <w:t xml:space="preserve">for thymic selection. In</w:t>
      </w:r>
      <w:r>
        <w:t xml:space="preserve"> </w:t>
      </w:r>
      <w:r>
        <w:rPr>
          <w:b/>
          <w:bCs/>
        </w:rPr>
        <w:t xml:space="preserve">14–26</w:t>
      </w:r>
      <w:r>
        <w:t xml:space="preserve">, explain how stave cells filter erythrocytes.</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cardia and pylorus are</w:t>
      </w:r>
      <w:r>
        <w:t xml:space="preserve"> </w:t>
      </w:r>
      <w:r>
        <w:rPr>
          <w:b/>
          <w:bCs/>
        </w:rPr>
        <w:t xml:space="preserve">histologically similar</w:t>
      </w:r>
      <w:r>
        <w:t xml:space="preserve"> </w:t>
      </w:r>
      <w:r>
        <w:t xml:space="preserve">to each other and</w:t>
      </w:r>
      <w:r>
        <w:t xml:space="preserve"> </w:t>
      </w:r>
      <w:r>
        <w:rPr>
          <w:b/>
          <w:bCs/>
        </w:rPr>
        <w:t xml:space="preserve">lack parietal and chief cells</w:t>
      </w:r>
      <w:r>
        <w:t xml:space="preserve">, secreting mucus instead.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for a total absorptive area of</w:t>
      </w:r>
      <w:r>
        <w:t xml:space="preserve"> </w:t>
      </w:r>
      <w:r>
        <w:rPr>
          <w:b/>
          <w:bCs/>
        </w:rPr>
        <w:t xml:space="preserve">over 200 m²</w:t>
      </w:r>
      <w:r>
        <w:t xml:space="preserve"> </w:t>
      </w:r>
      <w:r>
        <w:t xml:space="preserve">—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Compare the wall in</w:t>
      </w:r>
      <w:r>
        <w:t xml:space="preserve"> </w:t>
      </w:r>
      <w:r>
        <w:rPr>
          <w:b/>
          <w:bCs/>
        </w:rPr>
        <w:t xml:space="preserve">15–15</w:t>
      </w:r>
      <w:r>
        <w:t xml:space="preserve"> </w:t>
      </w:r>
      <w:r>
        <w:t xml:space="preserve">(stomach) with the villus in</w:t>
      </w:r>
      <w:r>
        <w:t xml:space="preserve"> </w:t>
      </w:r>
      <w:r>
        <w:rPr>
          <w:b/>
          <w:bCs/>
        </w:rPr>
        <w:t xml:space="preserve">15–28</w:t>
      </w:r>
      <w:r>
        <w:t xml:space="preserve"> </w:t>
      </w:r>
      <w:r>
        <w:t xml:space="preserve">and the rectoanal junction in</w:t>
      </w:r>
      <w:r>
        <w:t xml:space="preserve"> </w:t>
      </w:r>
      <w:r>
        <w:rPr>
          <w:b/>
          <w:bCs/>
        </w:rPr>
        <w:t xml:space="preserve">15–34</w:t>
      </w:r>
      <w:r>
        <w:t xml:space="preserve">: pits, villi, and the change from columnar to stratified squamous are the three appearances to name aloud. Use</w:t>
      </w:r>
      <w:r>
        <w:t xml:space="preserve"> </w:t>
      </w:r>
      <w:r>
        <w:rPr>
          <w:b/>
          <w:bCs/>
        </w:rPr>
        <w:t xml:space="preserve">15–8</w:t>
      </w:r>
      <w:r>
        <w:t xml:space="preserve"> </w:t>
      </w:r>
      <w:r>
        <w:t xml:space="preserve">for the dentinal tubule and</w:t>
      </w:r>
      <w:r>
        <w:t xml:space="preserve"> </w:t>
      </w:r>
      <w:r>
        <w:rPr>
          <w:b/>
          <w:bCs/>
        </w:rPr>
        <w:t xml:space="preserve">15–21</w:t>
      </w:r>
      <w:r>
        <w:t xml:space="preserve"> </w:t>
      </w:r>
      <w:r>
        <w:t xml:space="preserve">for pyloric glands.</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book’s basis for many patterns of hepatic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Use</w:t>
      </w:r>
      <w:r>
        <w:t xml:space="preserve"> </w:t>
      </w:r>
      <w:r>
        <w:rPr>
          <w:b/>
          <w:bCs/>
        </w:rPr>
        <w:t xml:space="preserve">16–1</w:t>
      </w:r>
      <w:r>
        <w:t xml:space="preserve"> </w:t>
      </w:r>
      <w:r>
        <w:t xml:space="preserve">to place the glands,</w:t>
      </w:r>
      <w:r>
        <w:t xml:space="preserve"> </w:t>
      </w:r>
      <w:r>
        <w:rPr>
          <w:b/>
          <w:bCs/>
        </w:rPr>
        <w:t xml:space="preserve">16–5</w:t>
      </w:r>
      <w:r>
        <w:t xml:space="preserve"> </w:t>
      </w:r>
      <w:r>
        <w:t xml:space="preserve">to compare submandibular and sublingual acini,</w:t>
      </w:r>
      <w:r>
        <w:t xml:space="preserve"> </w:t>
      </w:r>
      <w:r>
        <w:rPr>
          <w:b/>
          <w:bCs/>
        </w:rPr>
        <w:t xml:space="preserve">16–9</w:t>
      </w:r>
      <w:r>
        <w:t xml:space="preserve"> </w:t>
      </w:r>
      <w:r>
        <w:t xml:space="preserve">for pancreatic acini,</w:t>
      </w:r>
      <w:r>
        <w:t xml:space="preserve"> </w:t>
      </w:r>
      <w:r>
        <w:rPr>
          <w:b/>
          <w:bCs/>
        </w:rPr>
        <w:t xml:space="preserve">16–12</w:t>
      </w:r>
      <w:r>
        <w:t xml:space="preserve"> </w:t>
      </w:r>
      <w:r>
        <w:t xml:space="preserve">for the hepatic lobule,</w:t>
      </w:r>
      <w:r>
        <w:t xml:space="preserve"> </w:t>
      </w:r>
      <w:r>
        <w:rPr>
          <w:b/>
          <w:bCs/>
        </w:rPr>
        <w:t xml:space="preserve">16–16</w:t>
      </w:r>
      <w:r>
        <w:t xml:space="preserve"> </w:t>
      </w:r>
      <w:r>
        <w:t xml:space="preserve">for hepatocyte organelles,</w:t>
      </w:r>
      <w:r>
        <w:t xml:space="preserve"> </w:t>
      </w:r>
      <w:r>
        <w:rPr>
          <w:b/>
          <w:bCs/>
        </w:rPr>
        <w:t xml:space="preserve">16–20</w:t>
      </w:r>
      <w:r>
        <w:t xml:space="preserve"> </w:t>
      </w:r>
      <w:r>
        <w:t xml:space="preserve">for gallbladder mucosa. In</w:t>
      </w:r>
      <w:r>
        <w:t xml:space="preserve"> </w:t>
      </w:r>
      <w:r>
        <w:rPr>
          <w:b/>
          <w:bCs/>
        </w:rPr>
        <w:t xml:space="preserve">16–12</w:t>
      </w:r>
      <w:r>
        <w:t xml:space="preserve">, trace blood toward the central vein and bile toward the portal area.</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Walk down the airway: larynx (</w:t>
      </w:r>
      <w:r>
        <w:rPr>
          <w:b/>
          <w:bCs/>
        </w:rPr>
        <w:t xml:space="preserve">17–4</w:t>
      </w:r>
      <w:r>
        <w:t xml:space="preserve">), bronchial wall (</w:t>
      </w:r>
      <w:r>
        <w:rPr>
          <w:b/>
          <w:bCs/>
        </w:rPr>
        <w:t xml:space="preserve">17–8</w:t>
      </w:r>
      <w:r>
        <w:t xml:space="preserve">), the transition to alveoli (</w:t>
      </w:r>
      <w:r>
        <w:rPr>
          <w:b/>
          <w:bCs/>
        </w:rPr>
        <w:t xml:space="preserve">17–11</w:t>
      </w:r>
      <w:r>
        <w:t xml:space="preserve">), the blood–air barrier (</w:t>
      </w:r>
      <w:r>
        <w:rPr>
          <w:b/>
          <w:bCs/>
        </w:rPr>
        <w:t xml:space="preserve">17–15</w:t>
      </w:r>
      <w:r>
        <w:t xml:space="preserve">), pleura (</w:t>
      </w:r>
      <w:r>
        <w:rPr>
          <w:b/>
          <w:bCs/>
        </w:rPr>
        <w:t xml:space="preserve">17–18</w:t>
      </w:r>
      <w:r>
        <w:t xml:space="preserve">). At each level, say what has disappeared — cartilage, glands, or cilia.</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Use</w:t>
      </w:r>
      <w:r>
        <w:t xml:space="preserve"> </w:t>
      </w:r>
      <w:r>
        <w:rPr>
          <w:b/>
          <w:bCs/>
        </w:rPr>
        <w:t xml:space="preserve">18–1</w:t>
      </w:r>
      <w:r>
        <w:t xml:space="preserve"> </w:t>
      </w:r>
      <w:r>
        <w:t xml:space="preserve">for the layers and appendages,</w:t>
      </w:r>
      <w:r>
        <w:t xml:space="preserve"> </w:t>
      </w:r>
      <w:r>
        <w:rPr>
          <w:b/>
          <w:bCs/>
        </w:rPr>
        <w:t xml:space="preserve">18–5</w:t>
      </w:r>
      <w:r>
        <w:t xml:space="preserve"> </w:t>
      </w:r>
      <w:r>
        <w:t xml:space="preserve">for the strata of thick skin,</w:t>
      </w:r>
      <w:r>
        <w:t xml:space="preserve"> </w:t>
      </w:r>
      <w:r>
        <w:rPr>
          <w:b/>
          <w:bCs/>
        </w:rPr>
        <w:t xml:space="preserve">18–9</w:t>
      </w:r>
      <w:r>
        <w:t xml:space="preserve"> </w:t>
      </w:r>
      <w:r>
        <w:t xml:space="preserve">for the Merkel cell,</w:t>
      </w:r>
      <w:r>
        <w:t xml:space="preserve"> </w:t>
      </w:r>
      <w:r>
        <w:rPr>
          <w:b/>
          <w:bCs/>
        </w:rPr>
        <w:t xml:space="preserve">18–12</w:t>
      </w:r>
      <w:r>
        <w:t xml:space="preserve"> </w:t>
      </w:r>
      <w:r>
        <w:t xml:space="preserve">for the two encapsulated corpuscles,</w:t>
      </w:r>
      <w:r>
        <w:t xml:space="preserve"> </w:t>
      </w:r>
      <w:r>
        <w:rPr>
          <w:b/>
          <w:bCs/>
        </w:rPr>
        <w:t xml:space="preserve">18–16</w:t>
      </w:r>
      <w:r>
        <w:t xml:space="preserve"> </w:t>
      </w:r>
      <w:r>
        <w:t xml:space="preserve">for the glands,</w:t>
      </w:r>
      <w:r>
        <w:t xml:space="preserve"> </w:t>
      </w:r>
      <w:r>
        <w:rPr>
          <w:b/>
          <w:bCs/>
        </w:rPr>
        <w:t xml:space="preserve">18–20</w:t>
      </w:r>
      <w:r>
        <w:t xml:space="preserve"> </w:t>
      </w:r>
      <w:r>
        <w:t xml:space="preserve">for the healing sequence. In</w:t>
      </w:r>
      <w:r>
        <w:t xml:space="preserve"> </w:t>
      </w:r>
      <w:r>
        <w:rPr>
          <w:b/>
          <w:bCs/>
        </w:rPr>
        <w:t xml:space="preserve">18–12</w:t>
      </w:r>
      <w:r>
        <w:t xml:space="preserve">, distinguish the capsule and lamellae of the two corpuscles.</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(the chapter summary says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 three layers — umbrella cells with uroplakin plaques above intermediate and basal cells; it thins as the bladder fills.</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Begin at the corpuscle:</w:t>
      </w:r>
      <w:r>
        <w:t xml:space="preserve"> </w:t>
      </w:r>
      <w:r>
        <w:rPr>
          <w:b/>
          <w:bCs/>
        </w:rPr>
        <w:t xml:space="preserve">19–8</w:t>
      </w:r>
      <w:r>
        <w:t xml:space="preserve"> </w:t>
      </w:r>
      <w:r>
        <w:t xml:space="preserve">contrasts proximal and distal tubules,</w:t>
      </w:r>
      <w:r>
        <w:t xml:space="preserve"> </w:t>
      </w:r>
      <w:r>
        <w:rPr>
          <w:b/>
          <w:bCs/>
        </w:rPr>
        <w:t xml:space="preserve">19–11</w:t>
      </w:r>
      <w:r>
        <w:t xml:space="preserve"> </w:t>
      </w:r>
      <w:r>
        <w:t xml:space="preserve">the medullary segments,</w:t>
      </w:r>
      <w:r>
        <w:t xml:space="preserve"> </w:t>
      </w:r>
      <w:r>
        <w:rPr>
          <w:b/>
          <w:bCs/>
        </w:rPr>
        <w:t xml:space="preserve">19–15</w:t>
      </w:r>
      <w:r>
        <w:t xml:space="preserve"> </w:t>
      </w:r>
      <w:r>
        <w:t xml:space="preserve">the papilla and calyx,</w:t>
      </w:r>
      <w:r>
        <w:t xml:space="preserve"> </w:t>
      </w:r>
      <w:r>
        <w:rPr>
          <w:b/>
          <w:bCs/>
        </w:rPr>
        <w:t xml:space="preserve">19–18</w:t>
      </w:r>
      <w:r>
        <w:t xml:space="preserve"> </w:t>
      </w:r>
      <w:r>
        <w:t xml:space="preserve">the urethra. Use</w:t>
      </w:r>
      <w:r>
        <w:t xml:space="preserve"> </w:t>
      </w:r>
      <w:r>
        <w:rPr>
          <w:b/>
          <w:bCs/>
        </w:rPr>
        <w:t xml:space="preserve">19–4</w:t>
      </w:r>
      <w:r>
        <w:t xml:space="preserve"> </w:t>
      </w:r>
      <w:r>
        <w:t xml:space="preserve">to trace the cortical microvasculature from interlobular artery to peritubular capillary.</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2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Use</w:t>
      </w:r>
      <w:r>
        <w:t xml:space="preserve"> </w:t>
      </w:r>
      <w:r>
        <w:rPr>
          <w:b/>
          <w:bCs/>
        </w:rPr>
        <w:t xml:space="preserve">20–1</w:t>
      </w:r>
      <w:r>
        <w:t xml:space="preserve"> </w:t>
      </w:r>
      <w:r>
        <w:t xml:space="preserve">to place the glands,</w:t>
      </w:r>
      <w:r>
        <w:t xml:space="preserve"> </w:t>
      </w:r>
      <w:r>
        <w:rPr>
          <w:b/>
          <w:bCs/>
        </w:rPr>
        <w:t xml:space="preserve">20–6</w:t>
      </w:r>
      <w:r>
        <w:t xml:space="preserve"> </w:t>
      </w:r>
      <w:r>
        <w:t xml:space="preserve">to separate acidophils, basophils and chromophobes,</w:t>
      </w:r>
      <w:r>
        <w:t xml:space="preserve"> </w:t>
      </w:r>
      <w:r>
        <w:rPr>
          <w:b/>
          <w:bCs/>
        </w:rPr>
        <w:t xml:space="preserve">20–10</w:t>
      </w:r>
      <w:r>
        <w:t xml:space="preserve"> </w:t>
      </w:r>
      <w:r>
        <w:t xml:space="preserve">for feedback,</w:t>
      </w:r>
      <w:r>
        <w:t xml:space="preserve"> </w:t>
      </w:r>
      <w:r>
        <w:rPr>
          <w:b/>
          <w:bCs/>
        </w:rPr>
        <w:t xml:space="preserve">20–15</w:t>
      </w:r>
      <w:r>
        <w:t xml:space="preserve"> </w:t>
      </w:r>
      <w:r>
        <w:t xml:space="preserve">for the adrenal zones,</w:t>
      </w:r>
      <w:r>
        <w:t xml:space="preserve"> </w:t>
      </w:r>
      <w:r>
        <w:rPr>
          <w:b/>
          <w:bCs/>
        </w:rPr>
        <w:t xml:space="preserve">20–19</w:t>
      </w:r>
      <w:r>
        <w:t xml:space="preserve"> </w:t>
      </w:r>
      <w:r>
        <w:t xml:space="preserve">for thyroid follicles and C cells,</w:t>
      </w:r>
      <w:r>
        <w:t xml:space="preserve"> </w:t>
      </w:r>
      <w:r>
        <w:rPr>
          <w:b/>
          <w:bCs/>
        </w:rPr>
        <w:t xml:space="preserve">20–24</w:t>
      </w:r>
      <w:r>
        <w:t xml:space="preserve"> </w:t>
      </w:r>
      <w:r>
        <w:t xml:space="preserve">for the pineal gland.</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Use</w:t>
      </w:r>
      <w:r>
        <w:t xml:space="preserve"> </w:t>
      </w:r>
      <w:r>
        <w:rPr>
          <w:b/>
          <w:bCs/>
        </w:rPr>
        <w:t xml:space="preserve">21–1</w:t>
      </w:r>
      <w:r>
        <w:t xml:space="preserve"> </w:t>
      </w:r>
      <w:r>
        <w:t xml:space="preserve">for the duct system,</w:t>
      </w:r>
      <w:r>
        <w:t xml:space="preserve"> </w:t>
      </w:r>
      <w:r>
        <w:rPr>
          <w:b/>
          <w:bCs/>
        </w:rPr>
        <w:t xml:space="preserve">21–5</w:t>
      </w:r>
      <w:r>
        <w:t xml:space="preserve"> </w:t>
      </w:r>
      <w:r>
        <w:t xml:space="preserve">to follow spermatogenesis into spermiogenesis,</w:t>
      </w:r>
      <w:r>
        <w:t xml:space="preserve"> </w:t>
      </w:r>
      <w:r>
        <w:rPr>
          <w:b/>
          <w:bCs/>
        </w:rPr>
        <w:t xml:space="preserve">21–8</w:t>
      </w:r>
      <w:r>
        <w:t xml:space="preserve"> </w:t>
      </w:r>
      <w:r>
        <w:t xml:space="preserve">for a single differentiating spermatid,</w:t>
      </w:r>
      <w:r>
        <w:t xml:space="preserve"> </w:t>
      </w:r>
      <w:r>
        <w:rPr>
          <w:b/>
          <w:bCs/>
        </w:rPr>
        <w:t xml:space="preserve">21–12</w:t>
      </w:r>
      <w:r>
        <w:t xml:space="preserve"> </w:t>
      </w:r>
      <w:r>
        <w:t xml:space="preserve">for the vas deferens,</w:t>
      </w:r>
      <w:r>
        <w:t xml:space="preserve"> </w:t>
      </w:r>
      <w:r>
        <w:rPr>
          <w:b/>
          <w:bCs/>
        </w:rPr>
        <w:t xml:space="preserve">21–15</w:t>
      </w:r>
      <w:r>
        <w:t xml:space="preserve"> </w:t>
      </w:r>
      <w:r>
        <w:t xml:space="preserve">for prostatic zones,</w:t>
      </w:r>
      <w:r>
        <w:t xml:space="preserve"> </w:t>
      </w:r>
      <w:r>
        <w:rPr>
          <w:b/>
          <w:bCs/>
        </w:rPr>
        <w:t xml:space="preserve">21–19</w:t>
      </w:r>
      <w:r>
        <w:t xml:space="preserve"> </w:t>
      </w:r>
      <w:r>
        <w:t xml:space="preserve">for erectile tissue. Name the epithelium at each level.</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(The chapter summary reverses the two cell types, giving estrogen to the granulosa-lutein cells; the body text and Figure 22–12, followed here, give progesterone to the granulosa-lutein cells and estrogens to the theca-lutein cells.)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Follow one cycle:</w:t>
      </w:r>
      <w:r>
        <w:t xml:space="preserve"> </w:t>
      </w:r>
      <w:r>
        <w:rPr>
          <w:b/>
          <w:bCs/>
        </w:rPr>
        <w:t xml:space="preserve">22–6</w:t>
      </w:r>
      <w:r>
        <w:t xml:space="preserve"> </w:t>
      </w:r>
      <w:r>
        <w:t xml:space="preserve">for the growing follicle and zona pellucida,</w:t>
      </w:r>
      <w:r>
        <w:t xml:space="preserve"> </w:t>
      </w:r>
      <w:r>
        <w:rPr>
          <w:b/>
          <w:bCs/>
        </w:rPr>
        <w:t xml:space="preserve">22–12</w:t>
      </w:r>
      <w:r>
        <w:t xml:space="preserve"> </w:t>
      </w:r>
      <w:r>
        <w:t xml:space="preserve">for the corpus luteum,</w:t>
      </w:r>
      <w:r>
        <w:t xml:space="preserve"> </w:t>
      </w:r>
      <w:r>
        <w:rPr>
          <w:b/>
          <w:bCs/>
        </w:rPr>
        <w:t xml:space="preserve">22–17</w:t>
      </w:r>
      <w:r>
        <w:t xml:space="preserve"> </w:t>
      </w:r>
      <w:r>
        <w:t xml:space="preserve">for the ovarian–endometrial correlation,</w:t>
      </w:r>
      <w:r>
        <w:t xml:space="preserve"> </w:t>
      </w:r>
      <w:r>
        <w:rPr>
          <w:b/>
          <w:bCs/>
        </w:rPr>
        <w:t xml:space="preserve">22–23</w:t>
      </w:r>
      <w:r>
        <w:t xml:space="preserve"> </w:t>
      </w:r>
      <w:r>
        <w:t xml:space="preserve">for cervix,</w:t>
      </w:r>
      <w:r>
        <w:t xml:space="preserve"> </w:t>
      </w:r>
      <w:r>
        <w:rPr>
          <w:b/>
          <w:bCs/>
        </w:rPr>
        <w:t xml:space="preserve">22–28</w:t>
      </w:r>
      <w:r>
        <w:t xml:space="preserve"> </w:t>
      </w:r>
      <w:r>
        <w:t xml:space="preserve">for mammary secretion. In</w:t>
      </w:r>
      <w:r>
        <w:t xml:space="preserve"> </w:t>
      </w:r>
      <w:r>
        <w:rPr>
          <w:b/>
          <w:bCs/>
        </w:rPr>
        <w:t xml:space="preserve">22–12</w:t>
      </w:r>
      <w:r>
        <w:t xml:space="preserve">, identify both lutein cell populations.</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at the center of the</w:t>
      </w:r>
      <w:r>
        <w:t xml:space="preserve"> </w:t>
      </w:r>
      <w:r>
        <w:rPr>
          <w:b/>
          <w:bCs/>
        </w:rPr>
        <w:t xml:space="preserve">macula lutea</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a single row of inner hair cells.</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Use</w:t>
      </w:r>
      <w:r>
        <w:t xml:space="preserve"> </w:t>
      </w:r>
      <w:r>
        <w:rPr>
          <w:b/>
          <w:bCs/>
        </w:rPr>
        <w:t xml:space="preserve">23–1</w:t>
      </w:r>
      <w:r>
        <w:t xml:space="preserve"> </w:t>
      </w:r>
      <w:r>
        <w:t xml:space="preserve">for the tunics,</w:t>
      </w:r>
      <w:r>
        <w:t xml:space="preserve"> </w:t>
      </w:r>
      <w:r>
        <w:rPr>
          <w:b/>
          <w:bCs/>
        </w:rPr>
        <w:t xml:space="preserve">23–7</w:t>
      </w:r>
      <w:r>
        <w:t xml:space="preserve"> </w:t>
      </w:r>
      <w:r>
        <w:t xml:space="preserve">for the ciliary epithelium,</w:t>
      </w:r>
      <w:r>
        <w:t xml:space="preserve"> </w:t>
      </w:r>
      <w:r>
        <w:rPr>
          <w:b/>
          <w:bCs/>
        </w:rPr>
        <w:t xml:space="preserve">23–14</w:t>
      </w:r>
      <w:r>
        <w:t xml:space="preserve"> </w:t>
      </w:r>
      <w:r>
        <w:t xml:space="preserve">for retinal layers and the fovea,</w:t>
      </w:r>
      <w:r>
        <w:t xml:space="preserve"> </w:t>
      </w:r>
      <w:r>
        <w:rPr>
          <w:b/>
          <w:bCs/>
        </w:rPr>
        <w:t xml:space="preserve">23–20</w:t>
      </w:r>
      <w:r>
        <w:t xml:space="preserve"> </w:t>
      </w:r>
      <w:r>
        <w:t xml:space="preserve">for the lacrimal gland,</w:t>
      </w:r>
      <w:r>
        <w:t xml:space="preserve"> </w:t>
      </w:r>
      <w:r>
        <w:rPr>
          <w:b/>
          <w:bCs/>
        </w:rPr>
        <w:t xml:space="preserve">23–27</w:t>
      </w:r>
      <w:r>
        <w:t xml:space="preserve"> </w:t>
      </w:r>
      <w:r>
        <w:t xml:space="preserve">for hair-cell transduction,</w:t>
      </w:r>
      <w:r>
        <w:t xml:space="preserve"> </w:t>
      </w:r>
      <w:r>
        <w:rPr>
          <w:b/>
          <w:bCs/>
        </w:rPr>
        <w:t xml:space="preserve">23–33</w:t>
      </w:r>
      <w:r>
        <w:t xml:space="preserve"> </w:t>
      </w:r>
      <w:r>
        <w:t xml:space="preserve">for sound-wave interpretation along the cochlea. In</w:t>
      </w:r>
      <w:r>
        <w:t xml:space="preserve"> </w:t>
      </w:r>
      <w:r>
        <w:rPr>
          <w:b/>
          <w:bCs/>
        </w:rPr>
        <w:t xml:space="preserve">23–14</w:t>
      </w:r>
      <w:r>
        <w:t xml:space="preserve">, follow the light path from vitreous to pigment epithelium.</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(Chapters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Hypertrophy/hyperplasia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Basal lamina = lamina lucida + lamina densa; the basement membrane adds the reticular lamina (type III collagen).</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modified apocrine gland; lipid by apocrine secretion, protein by merocrine secretion.</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 the table above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2026-10-20T17:05:08Z</dcterms:created>
  <dcterms:modified xsi:type="dcterms:W3CDTF">2026-10-20T17:05:08Z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