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rewards recognition rather than recall: a small number of structural rules generate most of the detail you will be asked to reproduce. Learn the rules and the detail follows.</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a structured revision text.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in Parts I–V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textbook figures, with the caption subject as a self-test</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A few standard physiology and clinical numbers (GFR, bladder volumes, sperm-density thresholds) are added as context; they are not claims about the book’s text. Nothing here is attributed to the book unless the book states it. Values and clinical terms that the textbook does not contain are marked</w:t>
      </w:r>
      <w:r>
        <w:t xml:space="preserve"> </w:t>
      </w:r>
      <w:r>
        <w:rPr>
          <w:b/>
          <w:bCs/>
        </w:rPr>
        <w:t xml:space="preserve">supplementary</w:t>
      </w:r>
      <w:r>
        <w:t xml:space="preserve"> </w:t>
      </w:r>
      <w:r>
        <w:t xml:space="preserve">where they appear.</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reading carefully.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to start any slide question</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Naming the function is what makes the structure memorable.</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Work through Parts I–V at roughly one part per week, reading the corresponding chapter first, then the section here, then covering the tables and redrawing them from memory. Do the book’s</w:t>
      </w:r>
      <w:r>
        <w:t xml:space="preserve"> </w:t>
      </w:r>
      <w:r>
        <w:t xml:space="preserve">“Assess Your Knowledge”</w:t>
      </w:r>
      <w:r>
        <w:t xml:space="preserve"> </w:t>
      </w:r>
      <w:r>
        <w:t xml:space="preserve">questions as you go. In the sixth week, revise with Part VI (Rapid Review and the master tables) and work through the 100 questions in Part VII.</w:t>
      </w:r>
    </w:p>
    <w:p>
      <w:pPr>
        <w:pStyle w:val="BodyText"/>
      </w:pPr>
      <w:r>
        <w:rPr>
          <w:b/>
          <w:bCs/>
        </w:rPr>
        <w:t xml:space="preserve">If you have ten days.</w:t>
      </w:r>
      <w:r>
        <w:t xml:space="preserve"> </w:t>
      </w:r>
      <w:r>
        <w:t xml:space="preserve">Two to three chapters per day, tables only on the first pass. Concentrate on six comparison tables: epithelium types, connective tissue fibers, cartilage, muscle, leukocytes, and the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rules of thumb hold across most of the book. Each has exceptions, and the chapters point them out. When you are unsure how to approach a structure,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Most histological facts have a clinical counterpart.</w:t>
      </w:r>
      <w:r>
        <w:t xml:space="preserve"> </w:t>
      </w:r>
      <w:r>
        <w:t xml:space="preserve">Linking a structure to a disease makes it easier to recall and easier to apply.</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Examination images often turn on a single diagnostic cell.</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3"/>
    <w:bookmarkStart w:id="14" w:name="ten-common-errors"/>
    <w:p>
      <w:pPr>
        <w:pStyle w:val="Heading3"/>
      </w:pPr>
      <w:r>
        <w:t xml:space="preserve">Ten common errors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decades: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of structures that are easily confused.</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 further multiple-choice questions, a lab guide with microscopic directions for each laboratory session, and links to virtual light microscope slides. If your library subscribes, the lab guide gives step-by-step directions for each laboratory session.</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primary source for this companion.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column refers to the seven parts of this book.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The book describes formalin as</w:t>
      </w:r>
      <w:r>
        <w:t xml:space="preserve"> </w:t>
      </w:r>
      <w:r>
        <w:t xml:space="preserve">“a buffered isotonic solution of 37% formaldehyde.”</w:t>
      </w:r>
      <w:r>
        <w:t xml:space="preserve"> </w:t>
      </w:r>
      <w:r>
        <w:t xml:space="preserve">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figure the book gives — enough to view isolated particles magnified as much as</w:t>
      </w:r>
      <w:r>
        <w:t xml:space="preserve"> </w:t>
      </w:r>
      <w:r>
        <w:rPr>
          <w:b/>
          <w:bCs/>
        </w:rPr>
        <w:t xml:space="preserve">400,000×</w:t>
      </w:r>
      <w:r>
        <w:t xml:space="preserve">. On ideal specimens the instrument’s point resolution can approach</w:t>
      </w:r>
      <w:r>
        <w:t xml:space="preserve"> </w:t>
      </w:r>
      <w:r>
        <w:rPr>
          <w:b/>
          <w:bCs/>
        </w:rPr>
        <w:t xml:space="preserve">0.2 nm</w:t>
      </w:r>
      <w:r>
        <w:t xml:space="preserve">, which is why both numbers appear in the literature.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the instrument’s point resolution can approach 0.2 nm).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TEM about 3 nm in routine sections (point resolution approaching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3 nm in routine sections — roughly two orders of magnitude, with the instrument’s point resolution approaching 0.2 nm on ideal specimens.</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1"/>
        </w:numPr>
      </w:pPr>
      <w:r>
        <w:rPr>
          <w:b/>
          <w:bCs/>
        </w:rPr>
        <w:t xml:space="preserve">Fig. 1–1</w:t>
      </w:r>
      <w:r>
        <w:t xml:space="preserve"> </w:t>
      </w:r>
      <w:r>
        <w:t xml:space="preserve">—</w:t>
      </w:r>
      <w:r>
        <w:t xml:space="preserve"> </w:t>
      </w:r>
      <w:r>
        <w:rPr>
          <w:i/>
          <w:iCs/>
        </w:rPr>
        <w:t xml:space="preserve">Sectioning fixed and embedded tissue</w:t>
      </w:r>
      <w:r>
        <w:t xml:space="preserve">.</w:t>
      </w:r>
    </w:p>
    <w:p>
      <w:pPr>
        <w:pStyle w:val="Compact"/>
        <w:numPr>
          <w:ilvl w:val="0"/>
          <w:numId w:val="1011"/>
        </w:numPr>
      </w:pPr>
      <w:r>
        <w:rPr>
          <w:b/>
          <w:bCs/>
        </w:rPr>
        <w:t xml:space="preserve">Fig. 1–4</w:t>
      </w:r>
      <w:r>
        <w:t xml:space="preserve"> </w:t>
      </w:r>
      <w:r>
        <w:t xml:space="preserve">—</w:t>
      </w:r>
      <w:r>
        <w:t xml:space="preserve"> </w:t>
      </w:r>
      <w:r>
        <w:rPr>
          <w:i/>
          <w:iCs/>
        </w:rPr>
        <w:t xml:space="preserve">Appearance of cells with fluorescent microscopy</w:t>
      </w:r>
      <w:r>
        <w:t xml:space="preserve">.</w:t>
      </w:r>
    </w:p>
    <w:p>
      <w:pPr>
        <w:pStyle w:val="Compact"/>
        <w:numPr>
          <w:ilvl w:val="0"/>
          <w:numId w:val="1011"/>
        </w:numPr>
      </w:pPr>
      <w:r>
        <w:rPr>
          <w:b/>
          <w:bCs/>
        </w:rPr>
        <w:t xml:space="preserve">Fig. 1–6</w:t>
      </w:r>
      <w:r>
        <w:t xml:space="preserve"> </w:t>
      </w:r>
      <w:r>
        <w:t xml:space="preserve">—</w:t>
      </w:r>
      <w:r>
        <w:t xml:space="preserve"> </w:t>
      </w:r>
      <w:r>
        <w:rPr>
          <w:i/>
          <w:iCs/>
        </w:rPr>
        <w:t xml:space="preserve">Principle of confocal microscopy</w:t>
      </w:r>
      <w:r>
        <w:t xml:space="preserve">.</w:t>
      </w:r>
    </w:p>
    <w:p>
      <w:pPr>
        <w:pStyle w:val="Compact"/>
        <w:numPr>
          <w:ilvl w:val="0"/>
          <w:numId w:val="1011"/>
        </w:numPr>
      </w:pPr>
      <w:r>
        <w:rPr>
          <w:b/>
          <w:bCs/>
        </w:rPr>
        <w:t xml:space="preserve">Fig. 1–9</w:t>
      </w:r>
      <w:r>
        <w:t xml:space="preserve"> </w:t>
      </w:r>
      <w:r>
        <w:t xml:space="preserve">—</w:t>
      </w:r>
      <w:r>
        <w:t xml:space="preserve"> </w:t>
      </w:r>
      <w:r>
        <w:rPr>
          <w:i/>
          <w:iCs/>
        </w:rPr>
        <w:t xml:space="preserve">Microscopic autoradiography</w:t>
      </w:r>
      <w:r>
        <w:t xml:space="preserve">.</w:t>
      </w:r>
    </w:p>
    <w:p>
      <w:pPr>
        <w:pStyle w:val="Compact"/>
        <w:numPr>
          <w:ilvl w:val="0"/>
          <w:numId w:val="1011"/>
        </w:numPr>
      </w:pPr>
      <w:r>
        <w:rPr>
          <w:b/>
          <w:bCs/>
        </w:rPr>
        <w:t xml:space="preserve">Fig. 1–11</w:t>
      </w:r>
      <w:r>
        <w:t xml:space="preserve"> </w:t>
      </w:r>
      <w:r>
        <w:t xml:space="preserve">—</w:t>
      </w:r>
      <w:r>
        <w:t xml:space="preserve"> </w:t>
      </w:r>
      <w:r>
        <w:rPr>
          <w:i/>
          <w:iCs/>
        </w:rPr>
        <w:t xml:space="preserve">Immunocytochemistry techniques</w:t>
      </w:r>
      <w:r>
        <w:t xml:space="preserve">.</w:t>
      </w:r>
    </w:p>
    <w:p>
      <w:pPr>
        <w:pStyle w:val="Compact"/>
        <w:numPr>
          <w:ilvl w:val="0"/>
          <w:numId w:val="1011"/>
        </w:numPr>
      </w:pPr>
      <w:r>
        <w:rPr>
          <w:b/>
          <w:bCs/>
        </w:rPr>
        <w:t xml:space="preserve">Fig. 1–14</w:t>
      </w:r>
      <w:r>
        <w:t xml:space="preserve"> </w:t>
      </w:r>
      <w:r>
        <w:t xml:space="preserve">—</w:t>
      </w:r>
      <w:r>
        <w:t xml:space="preserve"> </w:t>
      </w:r>
      <w:r>
        <w:rPr>
          <w:i/>
          <w:iCs/>
        </w:rPr>
        <w:t xml:space="preserve">Interpretation of 3D structures in 2D sections</w:t>
      </w:r>
      <w:r>
        <w:t xml:space="preserve">.</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6"/>
        </w:numPr>
      </w:pPr>
      <w:r>
        <w:rPr>
          <w:b/>
          <w:bCs/>
        </w:rPr>
        <w:t xml:space="preserve">Fig. 2–1</w:t>
      </w:r>
      <w:r>
        <w:t xml:space="preserve"> </w:t>
      </w:r>
      <w:r>
        <w:t xml:space="preserve">—</w:t>
      </w:r>
      <w:r>
        <w:t xml:space="preserve"> </w:t>
      </w:r>
      <w:r>
        <w:rPr>
          <w:i/>
          <w:iCs/>
        </w:rPr>
        <w:t xml:space="preserve">Lipids in membrane structure</w:t>
      </w:r>
      <w:r>
        <w:t xml:space="preserve">.</w:t>
      </w:r>
    </w:p>
    <w:p>
      <w:pPr>
        <w:pStyle w:val="Compact"/>
        <w:numPr>
          <w:ilvl w:val="0"/>
          <w:numId w:val="1016"/>
        </w:numPr>
      </w:pPr>
      <w:r>
        <w:rPr>
          <w:b/>
          <w:bCs/>
        </w:rPr>
        <w:t xml:space="preserve">Fig. 2–6</w:t>
      </w:r>
      <w:r>
        <w:t xml:space="preserve"> </w:t>
      </w:r>
      <w:r>
        <w:t xml:space="preserve">—</w:t>
      </w:r>
      <w:r>
        <w:t xml:space="preserve"> </w:t>
      </w:r>
      <w:r>
        <w:rPr>
          <w:i/>
          <w:iCs/>
        </w:rPr>
        <w:t xml:space="preserve">Three major forms of endocytosis</w:t>
      </w:r>
      <w:r>
        <w:t xml:space="preserve">.</w:t>
      </w:r>
    </w:p>
    <w:p>
      <w:pPr>
        <w:pStyle w:val="Compact"/>
        <w:numPr>
          <w:ilvl w:val="0"/>
          <w:numId w:val="1016"/>
        </w:numPr>
      </w:pPr>
      <w:r>
        <w:rPr>
          <w:b/>
          <w:bCs/>
        </w:rPr>
        <w:t xml:space="preserve">Fig. 2–12</w:t>
      </w:r>
      <w:r>
        <w:t xml:space="preserve"> </w:t>
      </w:r>
      <w:r>
        <w:t xml:space="preserve">—</w:t>
      </w:r>
      <w:r>
        <w:t xml:space="preserve"> </w:t>
      </w:r>
      <w:r>
        <w:rPr>
          <w:i/>
          <w:iCs/>
        </w:rPr>
        <w:t xml:space="preserve">Protein localization and cell morphology</w:t>
      </w:r>
      <w:r>
        <w:t xml:space="preserve">.</w:t>
      </w:r>
    </w:p>
    <w:p>
      <w:pPr>
        <w:pStyle w:val="Compact"/>
        <w:numPr>
          <w:ilvl w:val="0"/>
          <w:numId w:val="1016"/>
        </w:numPr>
      </w:pPr>
      <w:r>
        <w:rPr>
          <w:b/>
          <w:bCs/>
        </w:rPr>
        <w:t xml:space="preserve">Fig. 2–17</w:t>
      </w:r>
      <w:r>
        <w:t xml:space="preserve"> </w:t>
      </w:r>
      <w:r>
        <w:t xml:space="preserve">—</w:t>
      </w:r>
      <w:r>
        <w:t xml:space="preserve"> </w:t>
      </w:r>
      <w:r>
        <w:rPr>
          <w:i/>
          <w:iCs/>
        </w:rPr>
        <w:t xml:space="preserve">Lysosomal functions</w:t>
      </w:r>
      <w:r>
        <w:t xml:space="preserve">.</w:t>
      </w:r>
    </w:p>
    <w:p>
      <w:pPr>
        <w:pStyle w:val="Compact"/>
        <w:numPr>
          <w:ilvl w:val="0"/>
          <w:numId w:val="1016"/>
        </w:numPr>
      </w:pPr>
      <w:r>
        <w:rPr>
          <w:b/>
          <w:bCs/>
        </w:rPr>
        <w:t xml:space="preserve">Fig. 2–23</w:t>
      </w:r>
      <w:r>
        <w:t xml:space="preserve"> </w:t>
      </w:r>
      <w:r>
        <w:t xml:space="preserve">—</w:t>
      </w:r>
      <w:r>
        <w:t xml:space="preserve"> </w:t>
      </w:r>
      <w:r>
        <w:rPr>
          <w:i/>
          <w:iCs/>
        </w:rPr>
        <w:t xml:space="preserve">Dynamic instability of microtubules</w:t>
      </w:r>
      <w:r>
        <w:t xml:space="preserve">.</w:t>
      </w:r>
    </w:p>
    <w:p>
      <w:pPr>
        <w:pStyle w:val="Compact"/>
        <w:numPr>
          <w:ilvl w:val="0"/>
          <w:numId w:val="1016"/>
        </w:numPr>
      </w:pPr>
      <w:r>
        <w:rPr>
          <w:b/>
          <w:bCs/>
        </w:rPr>
        <w:t xml:space="preserve">Fig. 2–28</w:t>
      </w:r>
      <w:r>
        <w:t xml:space="preserve"> </w:t>
      </w:r>
      <w:r>
        <w:t xml:space="preserve">—</w:t>
      </w:r>
      <w:r>
        <w:t xml:space="preserve"> </w:t>
      </w:r>
      <w:r>
        <w:rPr>
          <w:i/>
          <w:iCs/>
        </w:rPr>
        <w:t xml:space="preserve">Cellular inclusions</w:t>
      </w:r>
      <w:r>
        <w:t xml:space="preserve">.</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1.75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frequent mutation in human cancers (commonly cited as about half).</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has little or no regenerative capacity.</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2"/>
        </w:numPr>
      </w:pPr>
      <w:r>
        <w:rPr>
          <w:b/>
          <w:bCs/>
        </w:rPr>
        <w:t xml:space="preserve">Fig. 3–1</w:t>
      </w:r>
      <w:r>
        <w:t xml:space="preserve"> </w:t>
      </w:r>
      <w:r>
        <w:t xml:space="preserve">—</w:t>
      </w:r>
      <w:r>
        <w:t xml:space="preserve"> </w:t>
      </w:r>
      <w:r>
        <w:rPr>
          <w:i/>
          <w:iCs/>
        </w:rPr>
        <w:t xml:space="preserve">Nuclei of large, active cells</w:t>
      </w:r>
      <w:r>
        <w:t xml:space="preserve">.</w:t>
      </w:r>
    </w:p>
    <w:p>
      <w:pPr>
        <w:pStyle w:val="Compact"/>
        <w:numPr>
          <w:ilvl w:val="0"/>
          <w:numId w:val="1022"/>
        </w:numPr>
      </w:pPr>
      <w:r>
        <w:rPr>
          <w:b/>
          <w:bCs/>
        </w:rPr>
        <w:t xml:space="preserve">Fig. 3–5</w:t>
      </w:r>
      <w:r>
        <w:t xml:space="preserve"> </w:t>
      </w:r>
      <w:r>
        <w:t xml:space="preserve">—</w:t>
      </w:r>
      <w:r>
        <w:t xml:space="preserve"> </w:t>
      </w:r>
      <w:r>
        <w:rPr>
          <w:i/>
          <w:iCs/>
        </w:rPr>
        <w:t xml:space="preserve">Nuclear pores</w:t>
      </w:r>
      <w:r>
        <w:t xml:space="preserve">.</w:t>
      </w:r>
    </w:p>
    <w:p>
      <w:pPr>
        <w:pStyle w:val="Compact"/>
        <w:numPr>
          <w:ilvl w:val="0"/>
          <w:numId w:val="1022"/>
        </w:numPr>
      </w:pPr>
      <w:r>
        <w:rPr>
          <w:b/>
          <w:bCs/>
        </w:rPr>
        <w:t xml:space="preserve">Fig. 3–9</w:t>
      </w:r>
      <w:r>
        <w:t xml:space="preserve"> </w:t>
      </w:r>
      <w:r>
        <w:t xml:space="preserve">—</w:t>
      </w:r>
      <w:r>
        <w:t xml:space="preserve"> </w:t>
      </w:r>
      <w:r>
        <w:rPr>
          <w:i/>
          <w:iCs/>
        </w:rPr>
        <w:t xml:space="preserve">Chromosome territories of a human fibroblast nucleus</w:t>
      </w:r>
      <w:r>
        <w:t xml:space="preserve">.</w:t>
      </w:r>
    </w:p>
    <w:p>
      <w:pPr>
        <w:pStyle w:val="Compact"/>
        <w:numPr>
          <w:ilvl w:val="0"/>
          <w:numId w:val="1022"/>
        </w:numPr>
      </w:pPr>
      <w:r>
        <w:rPr>
          <w:b/>
          <w:bCs/>
        </w:rPr>
        <w:t xml:space="preserve">Fig. 3–12</w:t>
      </w:r>
      <w:r>
        <w:t xml:space="preserve"> </w:t>
      </w:r>
      <w:r>
        <w:t xml:space="preserve">—</w:t>
      </w:r>
      <w:r>
        <w:t xml:space="preserve"> </w:t>
      </w:r>
      <w:r>
        <w:rPr>
          <w:i/>
          <w:iCs/>
        </w:rPr>
        <w:t xml:space="preserve">The cell cycle</w:t>
      </w:r>
      <w:r>
        <w:t xml:space="preserve">.</w:t>
      </w:r>
    </w:p>
    <w:p>
      <w:pPr>
        <w:pStyle w:val="Compact"/>
        <w:numPr>
          <w:ilvl w:val="0"/>
          <w:numId w:val="1022"/>
        </w:numPr>
      </w:pPr>
      <w:r>
        <w:rPr>
          <w:b/>
          <w:bCs/>
        </w:rPr>
        <w:t xml:space="preserve">Fig. 3–16</w:t>
      </w:r>
      <w:r>
        <w:t xml:space="preserve"> </w:t>
      </w:r>
      <w:r>
        <w:t xml:space="preserve">—</w:t>
      </w:r>
      <w:r>
        <w:t xml:space="preserve"> </w:t>
      </w:r>
      <w:r>
        <w:rPr>
          <w:i/>
          <w:iCs/>
        </w:rPr>
        <w:t xml:space="preserve">Mitotic cells in adult tissues</w:t>
      </w:r>
      <w:r>
        <w:t xml:space="preserve">.</w:t>
      </w:r>
    </w:p>
    <w:p>
      <w:pPr>
        <w:pStyle w:val="Compact"/>
        <w:numPr>
          <w:ilvl w:val="0"/>
          <w:numId w:val="1022"/>
        </w:numPr>
      </w:pPr>
      <w:r>
        <w:rPr>
          <w:b/>
          <w:bCs/>
        </w:rPr>
        <w:t xml:space="preserve">Fig. 3–20</w:t>
      </w:r>
      <w:r>
        <w:t xml:space="preserve"> </w:t>
      </w:r>
      <w:r>
        <w:t xml:space="preserve">—</w:t>
      </w:r>
      <w:r>
        <w:t xml:space="preserve"> </w:t>
      </w:r>
      <w:r>
        <w:rPr>
          <w:i/>
          <w:iCs/>
        </w:rPr>
        <w:t xml:space="preserve">Late apoptosis—apoptotic bodies</w:t>
      </w:r>
      <w:r>
        <w:t xml:space="preserve">.</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8"/>
        </w:numPr>
      </w:pPr>
      <w:r>
        <w:rPr>
          <w:b/>
          <w:bCs/>
        </w:rPr>
        <w:t xml:space="preserve">Fig. 4–1</w:t>
      </w:r>
      <w:r>
        <w:t xml:space="preserve"> </w:t>
      </w:r>
      <w:r>
        <w:t xml:space="preserve">—</w:t>
      </w:r>
      <w:r>
        <w:t xml:space="preserve"> </w:t>
      </w:r>
      <w:r>
        <w:rPr>
          <w:i/>
          <w:iCs/>
        </w:rPr>
        <w:t xml:space="preserve">Epithelia and adjacent connective tissue</w:t>
      </w:r>
      <w:r>
        <w:t xml:space="preserve">.</w:t>
      </w:r>
    </w:p>
    <w:p>
      <w:pPr>
        <w:pStyle w:val="Compact"/>
        <w:numPr>
          <w:ilvl w:val="0"/>
          <w:numId w:val="1028"/>
        </w:numPr>
      </w:pPr>
      <w:r>
        <w:rPr>
          <w:b/>
          <w:bCs/>
        </w:rPr>
        <w:t xml:space="preserve">Fig. 4–6</w:t>
      </w:r>
      <w:r>
        <w:t xml:space="preserve"> </w:t>
      </w:r>
      <w:r>
        <w:t xml:space="preserve">—</w:t>
      </w:r>
      <w:r>
        <w:t xml:space="preserve"> </w:t>
      </w:r>
      <w:r>
        <w:rPr>
          <w:i/>
          <w:iCs/>
        </w:rPr>
        <w:t xml:space="preserve">View of a tight junction after cryofracture</w:t>
      </w:r>
      <w:r>
        <w:t xml:space="preserve">.</w:t>
      </w:r>
    </w:p>
    <w:p>
      <w:pPr>
        <w:pStyle w:val="Compact"/>
        <w:numPr>
          <w:ilvl w:val="0"/>
          <w:numId w:val="1028"/>
        </w:numPr>
      </w:pPr>
      <w:r>
        <w:rPr>
          <w:b/>
          <w:bCs/>
        </w:rPr>
        <w:t xml:space="preserve">Fig. 4–12</w:t>
      </w:r>
      <w:r>
        <w:t xml:space="preserve"> </w:t>
      </w:r>
      <w:r>
        <w:t xml:space="preserve">—</w:t>
      </w:r>
      <w:r>
        <w:t xml:space="preserve"> </w:t>
      </w:r>
      <w:r>
        <w:rPr>
          <w:i/>
          <w:iCs/>
        </w:rPr>
        <w:t xml:space="preserve">Simple squamous epithelium</w:t>
      </w:r>
      <w:r>
        <w:t xml:space="preserve">.</w:t>
      </w:r>
    </w:p>
    <w:p>
      <w:pPr>
        <w:pStyle w:val="Compact"/>
        <w:numPr>
          <w:ilvl w:val="0"/>
          <w:numId w:val="1028"/>
        </w:numPr>
      </w:pPr>
      <w:r>
        <w:rPr>
          <w:b/>
          <w:bCs/>
        </w:rPr>
        <w:t xml:space="preserve">Fig. 4–17</w:t>
      </w:r>
      <w:r>
        <w:t xml:space="preserve"> </w:t>
      </w:r>
      <w:r>
        <w:t xml:space="preserve">—</w:t>
      </w:r>
      <w:r>
        <w:t xml:space="preserve"> </w:t>
      </w:r>
      <w:r>
        <w:rPr>
          <w:i/>
          <w:iCs/>
        </w:rPr>
        <w:t xml:space="preserve">Pseudostratified epithelium</w:t>
      </w:r>
      <w:r>
        <w:t xml:space="preserve">.</w:t>
      </w:r>
    </w:p>
    <w:p>
      <w:pPr>
        <w:pStyle w:val="Compact"/>
        <w:numPr>
          <w:ilvl w:val="0"/>
          <w:numId w:val="1028"/>
        </w:numPr>
      </w:pPr>
      <w:r>
        <w:rPr>
          <w:b/>
          <w:bCs/>
        </w:rPr>
        <w:t xml:space="preserve">Fig. 4–23</w:t>
      </w:r>
      <w:r>
        <w:t xml:space="preserve"> </w:t>
      </w:r>
      <w:r>
        <w:t xml:space="preserve">—</w:t>
      </w:r>
      <w:r>
        <w:t xml:space="preserve"> </w:t>
      </w:r>
      <w:r>
        <w:rPr>
          <w:i/>
          <w:iCs/>
        </w:rPr>
        <w:t xml:space="preserve">Apocrine secretion in the mammary gland</w:t>
      </w:r>
      <w:r>
        <w:t xml:space="preserve">.</w:t>
      </w:r>
    </w:p>
    <w:p>
      <w:pPr>
        <w:pStyle w:val="Compact"/>
        <w:numPr>
          <w:ilvl w:val="0"/>
          <w:numId w:val="1028"/>
        </w:numPr>
      </w:pPr>
      <w:r>
        <w:rPr>
          <w:b/>
          <w:bCs/>
        </w:rPr>
        <w:t xml:space="preserve">Fig. 4–28</w:t>
      </w:r>
      <w:r>
        <w:t xml:space="preserve"> </w:t>
      </w:r>
      <w:r>
        <w:t xml:space="preserve">—</w:t>
      </w:r>
      <w:r>
        <w:t xml:space="preserve"> </w:t>
      </w:r>
      <w:r>
        <w:rPr>
          <w:i/>
          <w:iCs/>
        </w:rPr>
        <w:t xml:space="preserve">Features of absorptive cells</w:t>
      </w:r>
      <w:r>
        <w:t xml:space="preserve">.</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35"/>
        </w:numPr>
      </w:pPr>
      <w:r>
        <w:rPr>
          <w:b/>
          <w:bCs/>
        </w:rPr>
        <w:t xml:space="preserve">Fig. 5–1</w:t>
      </w:r>
      <w:r>
        <w:t xml:space="preserve"> </w:t>
      </w:r>
      <w:r>
        <w:t xml:space="preserve">—</w:t>
      </w:r>
      <w:r>
        <w:t xml:space="preserve"> </w:t>
      </w:r>
      <w:r>
        <w:rPr>
          <w:i/>
          <w:iCs/>
        </w:rPr>
        <w:t xml:space="preserve">Embryonic mesenchyme</w:t>
      </w:r>
      <w:r>
        <w:t xml:space="preserve">.</w:t>
      </w:r>
    </w:p>
    <w:p>
      <w:pPr>
        <w:pStyle w:val="Compact"/>
        <w:numPr>
          <w:ilvl w:val="0"/>
          <w:numId w:val="1035"/>
        </w:numPr>
      </w:pPr>
      <w:r>
        <w:rPr>
          <w:b/>
          <w:bCs/>
        </w:rPr>
        <w:t xml:space="preserve">Fig. 5–5</w:t>
      </w:r>
      <w:r>
        <w:t xml:space="preserve"> </w:t>
      </w:r>
      <w:r>
        <w:t xml:space="preserve">—</w:t>
      </w:r>
      <w:r>
        <w:t xml:space="preserve"> </w:t>
      </w:r>
      <w:r>
        <w:rPr>
          <w:i/>
          <w:iCs/>
        </w:rPr>
        <w:t xml:space="preserve">Mast cells</w:t>
      </w:r>
      <w:r>
        <w:t xml:space="preserve">.</w:t>
      </w:r>
    </w:p>
    <w:p>
      <w:pPr>
        <w:pStyle w:val="Compact"/>
        <w:numPr>
          <w:ilvl w:val="0"/>
          <w:numId w:val="1035"/>
        </w:numPr>
      </w:pPr>
      <w:r>
        <w:rPr>
          <w:b/>
          <w:bCs/>
        </w:rPr>
        <w:t xml:space="preserve">Fig. 5–9</w:t>
      </w:r>
      <w:r>
        <w:t xml:space="preserve"> </w:t>
      </w:r>
      <w:r>
        <w:t xml:space="preserve">—</w:t>
      </w:r>
      <w:r>
        <w:t xml:space="preserve"> </w:t>
      </w:r>
      <w:r>
        <w:rPr>
          <w:i/>
          <w:iCs/>
        </w:rPr>
        <w:t xml:space="preserve">The collagen subunit</w:t>
      </w:r>
      <w:r>
        <w:t xml:space="preserve">.</w:t>
      </w:r>
    </w:p>
    <w:p>
      <w:pPr>
        <w:pStyle w:val="Compact"/>
        <w:numPr>
          <w:ilvl w:val="0"/>
          <w:numId w:val="1035"/>
        </w:numPr>
      </w:pPr>
      <w:r>
        <w:rPr>
          <w:b/>
          <w:bCs/>
        </w:rPr>
        <w:t xml:space="preserve">Fig. 5–14</w:t>
      </w:r>
      <w:r>
        <w:t xml:space="preserve"> </w:t>
      </w:r>
      <w:r>
        <w:t xml:space="preserve">—</w:t>
      </w:r>
      <w:r>
        <w:t xml:space="preserve"> </w:t>
      </w:r>
      <w:r>
        <w:rPr>
          <w:i/>
          <w:iCs/>
        </w:rPr>
        <w:t xml:space="preserve">Formation of elastic fibers</w:t>
      </w:r>
      <w:r>
        <w:t xml:space="preserve">.</w:t>
      </w:r>
    </w:p>
    <w:p>
      <w:pPr>
        <w:pStyle w:val="Compact"/>
        <w:numPr>
          <w:ilvl w:val="0"/>
          <w:numId w:val="1035"/>
        </w:numPr>
      </w:pPr>
      <w:r>
        <w:rPr>
          <w:b/>
          <w:bCs/>
        </w:rPr>
        <w:t xml:space="preserve">Fig. 5–18</w:t>
      </w:r>
      <w:r>
        <w:t xml:space="preserve"> </w:t>
      </w:r>
      <w:r>
        <w:t xml:space="preserve">—</w:t>
      </w:r>
      <w:r>
        <w:t xml:space="preserve"> </w:t>
      </w:r>
      <w:r>
        <w:rPr>
          <w:i/>
          <w:iCs/>
        </w:rPr>
        <w:t xml:space="preserve">Movement of fluid in connective tissue</w:t>
      </w:r>
      <w:r>
        <w:t xml:space="preserve">.</w:t>
      </w:r>
    </w:p>
    <w:p>
      <w:pPr>
        <w:pStyle w:val="Compact"/>
        <w:numPr>
          <w:ilvl w:val="0"/>
          <w:numId w:val="1035"/>
        </w:numPr>
      </w:pPr>
      <w:r>
        <w:rPr>
          <w:b/>
          <w:bCs/>
        </w:rPr>
        <w:t xml:space="preserve">Fig. 5–22</w:t>
      </w:r>
      <w:r>
        <w:t xml:space="preserve"> </w:t>
      </w:r>
      <w:r>
        <w:t xml:space="preserve">—</w:t>
      </w:r>
      <w:r>
        <w:t xml:space="preserve"> </w:t>
      </w:r>
      <w:r>
        <w:rPr>
          <w:i/>
          <w:iCs/>
        </w:rPr>
        <w:t xml:space="preserve">Mucoid tissue</w:t>
      </w:r>
      <w:r>
        <w:t xml:space="preserve">.</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0"/>
        </w:numPr>
      </w:pPr>
      <w:r>
        <w:rPr>
          <w:b/>
          <w:bCs/>
        </w:rPr>
        <w:t xml:space="preserve">Fig. 6–1</w:t>
      </w:r>
      <w:r>
        <w:t xml:space="preserve"> </w:t>
      </w:r>
      <w:r>
        <w:t xml:space="preserve">—</w:t>
      </w:r>
      <w:r>
        <w:t xml:space="preserve"> </w:t>
      </w:r>
      <w:r>
        <w:rPr>
          <w:i/>
          <w:iCs/>
        </w:rPr>
        <w:t xml:space="preserve">White adipose tissue</w:t>
      </w:r>
      <w:r>
        <w:t xml:space="preserve">.</w:t>
      </w:r>
    </w:p>
    <w:p>
      <w:pPr>
        <w:pStyle w:val="Compact"/>
        <w:numPr>
          <w:ilvl w:val="0"/>
          <w:numId w:val="1040"/>
        </w:numPr>
      </w:pPr>
      <w:r>
        <w:rPr>
          <w:b/>
          <w:bCs/>
        </w:rPr>
        <w:t xml:space="preserve">Fig. 6–2</w:t>
      </w:r>
      <w:r>
        <w:t xml:space="preserve"> </w:t>
      </w:r>
      <w:r>
        <w:t xml:space="preserve">—</w:t>
      </w:r>
      <w:r>
        <w:t xml:space="preserve"> </w:t>
      </w:r>
      <w:r>
        <w:rPr>
          <w:i/>
          <w:iCs/>
        </w:rPr>
        <w:t xml:space="preserve">Lipid storage and mobilization from adipocytes</w:t>
      </w:r>
      <w:r>
        <w:t xml:space="preserve">.</w:t>
      </w:r>
    </w:p>
    <w:p>
      <w:pPr>
        <w:pStyle w:val="Compact"/>
        <w:numPr>
          <w:ilvl w:val="0"/>
          <w:numId w:val="1040"/>
        </w:numPr>
      </w:pPr>
      <w:r>
        <w:rPr>
          <w:b/>
          <w:bCs/>
        </w:rPr>
        <w:t xml:space="preserve">Fig. 6–3</w:t>
      </w:r>
      <w:r>
        <w:t xml:space="preserve"> </w:t>
      </w:r>
      <w:r>
        <w:t xml:space="preserve">—</w:t>
      </w:r>
      <w:r>
        <w:t xml:space="preserve"> </w:t>
      </w:r>
      <w:r>
        <w:rPr>
          <w:i/>
          <w:iCs/>
        </w:rPr>
        <w:t xml:space="preserve">Development of white and brown fat cells</w:t>
      </w:r>
      <w:r>
        <w:t xml:space="preserve">.</w:t>
      </w:r>
    </w:p>
    <w:p>
      <w:pPr>
        <w:pStyle w:val="Compact"/>
        <w:numPr>
          <w:ilvl w:val="0"/>
          <w:numId w:val="1040"/>
        </w:numPr>
      </w:pPr>
      <w:r>
        <w:rPr>
          <w:b/>
          <w:bCs/>
        </w:rPr>
        <w:t xml:space="preserve">Fig. 6–4</w:t>
      </w:r>
      <w:r>
        <w:t xml:space="preserve"> </w:t>
      </w:r>
      <w:r>
        <w:t xml:space="preserve">—</w:t>
      </w:r>
      <w:r>
        <w:t xml:space="preserve"> </w:t>
      </w:r>
      <w:r>
        <w:rPr>
          <w:i/>
          <w:iCs/>
        </w:rPr>
        <w:t xml:space="preserve">Brown adipose tissue</w:t>
      </w:r>
      <w:r>
        <w:t xml:space="preserve">.</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6"/>
        </w:numPr>
      </w:pPr>
      <w:r>
        <w:rPr>
          <w:b/>
          <w:bCs/>
        </w:rPr>
        <w:t xml:space="preserve">Fig. 7–1</w:t>
      </w:r>
      <w:r>
        <w:t xml:space="preserve"> </w:t>
      </w:r>
      <w:r>
        <w:t xml:space="preserve">—</w:t>
      </w:r>
      <w:r>
        <w:t xml:space="preserve"> </w:t>
      </w:r>
      <w:r>
        <w:rPr>
          <w:i/>
          <w:iCs/>
        </w:rPr>
        <w:t xml:space="preserve">Distribution of cartilage in adults</w:t>
      </w:r>
      <w:r>
        <w:t xml:space="preserve">.</w:t>
      </w:r>
    </w:p>
    <w:p>
      <w:pPr>
        <w:pStyle w:val="Compact"/>
        <w:numPr>
          <w:ilvl w:val="0"/>
          <w:numId w:val="1046"/>
        </w:numPr>
      </w:pPr>
      <w:r>
        <w:rPr>
          <w:b/>
          <w:bCs/>
        </w:rPr>
        <w:t xml:space="preserve">Fig. 7–2</w:t>
      </w:r>
      <w:r>
        <w:t xml:space="preserve"> </w:t>
      </w:r>
      <w:r>
        <w:t xml:space="preserve">—</w:t>
      </w:r>
      <w:r>
        <w:t xml:space="preserve"> </w:t>
      </w:r>
      <w:r>
        <w:rPr>
          <w:i/>
          <w:iCs/>
        </w:rPr>
        <w:t xml:space="preserve">The structure of cartilage matrix and cells</w:t>
      </w:r>
      <w:r>
        <w:t xml:space="preserve">.</w:t>
      </w:r>
    </w:p>
    <w:p>
      <w:pPr>
        <w:pStyle w:val="Compact"/>
        <w:numPr>
          <w:ilvl w:val="0"/>
          <w:numId w:val="1046"/>
        </w:numPr>
      </w:pPr>
      <w:r>
        <w:rPr>
          <w:b/>
          <w:bCs/>
        </w:rPr>
        <w:t xml:space="preserve">Fig. 7–3</w:t>
      </w:r>
      <w:r>
        <w:t xml:space="preserve"> </w:t>
      </w:r>
      <w:r>
        <w:t xml:space="preserve">—</w:t>
      </w:r>
      <w:r>
        <w:t xml:space="preserve"> </w:t>
      </w:r>
      <w:r>
        <w:rPr>
          <w:i/>
          <w:iCs/>
        </w:rPr>
        <w:t xml:space="preserve">Hyaline cartilage</w:t>
      </w:r>
      <w:r>
        <w:t xml:space="preserve">.</w:t>
      </w:r>
    </w:p>
    <w:p>
      <w:pPr>
        <w:pStyle w:val="Compact"/>
        <w:numPr>
          <w:ilvl w:val="0"/>
          <w:numId w:val="1046"/>
        </w:numPr>
      </w:pPr>
      <w:r>
        <w:rPr>
          <w:b/>
          <w:bCs/>
        </w:rPr>
        <w:t xml:space="preserve">Fig. 7–5</w:t>
      </w:r>
      <w:r>
        <w:t xml:space="preserve"> </w:t>
      </w:r>
      <w:r>
        <w:t xml:space="preserve">—</w:t>
      </w:r>
      <w:r>
        <w:t xml:space="preserve"> </w:t>
      </w:r>
      <w:r>
        <w:rPr>
          <w:i/>
          <w:iCs/>
        </w:rPr>
        <w:t xml:space="preserve">Fibrocartilage</w:t>
      </w:r>
      <w:r>
        <w:t xml:space="preserve">.</w:t>
      </w:r>
    </w:p>
    <w:p>
      <w:pPr>
        <w:pStyle w:val="Compact"/>
        <w:numPr>
          <w:ilvl w:val="0"/>
          <w:numId w:val="1046"/>
        </w:numPr>
      </w:pPr>
      <w:r>
        <w:rPr>
          <w:b/>
          <w:bCs/>
        </w:rPr>
        <w:t xml:space="preserve">Fig. 7–6</w:t>
      </w:r>
      <w:r>
        <w:t xml:space="preserve"> </w:t>
      </w:r>
      <w:r>
        <w:t xml:space="preserve">—</w:t>
      </w:r>
      <w:r>
        <w:t xml:space="preserve"> </w:t>
      </w:r>
      <w:r>
        <w:rPr>
          <w:i/>
          <w:iCs/>
        </w:rPr>
        <w:t xml:space="preserve">Chondrogenesis</w:t>
      </w:r>
      <w:r>
        <w:t xml:space="preserve">.</w:t>
      </w:r>
    </w:p>
    <w:p>
      <w:pPr>
        <w:pStyle w:val="Compact"/>
        <w:numPr>
          <w:ilvl w:val="0"/>
          <w:numId w:val="1046"/>
        </w:numPr>
      </w:pPr>
      <w:r>
        <w:rPr>
          <w:b/>
          <w:bCs/>
        </w:rPr>
        <w:t xml:space="preserve">Fig. 7–7</w:t>
      </w:r>
      <w:r>
        <w:t xml:space="preserve"> </w:t>
      </w:r>
      <w:r>
        <w:t xml:space="preserve">—</w:t>
      </w:r>
      <w:r>
        <w:t xml:space="preserve"> </w:t>
      </w:r>
      <w:r>
        <w:rPr>
          <w:i/>
          <w:iCs/>
        </w:rPr>
        <w:t xml:space="preserve">Chondrocytes in growing cartilage</w:t>
      </w:r>
      <w:r>
        <w:t xml:space="preserve">.</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1"/>
        </w:numPr>
      </w:pPr>
      <w:r>
        <w:rPr>
          <w:b/>
          <w:bCs/>
        </w:rPr>
        <w:t xml:space="preserve">Fig. 8–1</w:t>
      </w:r>
      <w:r>
        <w:t xml:space="preserve"> </w:t>
      </w:r>
      <w:r>
        <w:t xml:space="preserve">—</w:t>
      </w:r>
      <w:r>
        <w:t xml:space="preserve"> </w:t>
      </w:r>
      <w:r>
        <w:rPr>
          <w:i/>
          <w:iCs/>
        </w:rPr>
        <w:t xml:space="preserve">Components of bone</w:t>
      </w:r>
      <w:r>
        <w:t xml:space="preserve">.</w:t>
      </w:r>
    </w:p>
    <w:p>
      <w:pPr>
        <w:pStyle w:val="Compact"/>
        <w:numPr>
          <w:ilvl w:val="0"/>
          <w:numId w:val="1051"/>
        </w:numPr>
      </w:pPr>
      <w:r>
        <w:rPr>
          <w:b/>
          <w:bCs/>
        </w:rPr>
        <w:t xml:space="preserve">Fig. 8–5</w:t>
      </w:r>
      <w:r>
        <w:t xml:space="preserve"> </w:t>
      </w:r>
      <w:r>
        <w:t xml:space="preserve">—</w:t>
      </w:r>
      <w:r>
        <w:t xml:space="preserve"> </w:t>
      </w:r>
      <w:r>
        <w:rPr>
          <w:i/>
          <w:iCs/>
        </w:rPr>
        <w:t xml:space="preserve">Osteocytes in lacunae</w:t>
      </w:r>
      <w:r>
        <w:t xml:space="preserve">.</w:t>
      </w:r>
    </w:p>
    <w:p>
      <w:pPr>
        <w:pStyle w:val="Compact"/>
        <w:numPr>
          <w:ilvl w:val="0"/>
          <w:numId w:val="1051"/>
        </w:numPr>
      </w:pPr>
      <w:r>
        <w:rPr>
          <w:b/>
          <w:bCs/>
        </w:rPr>
        <w:t xml:space="preserve">Fig. 8–10</w:t>
      </w:r>
      <w:r>
        <w:t xml:space="preserve"> </w:t>
      </w:r>
      <w:r>
        <w:t xml:space="preserve">—</w:t>
      </w:r>
      <w:r>
        <w:t xml:space="preserve"> </w:t>
      </w:r>
      <w:r>
        <w:rPr>
          <w:i/>
          <w:iCs/>
        </w:rPr>
        <w:t xml:space="preserve">Lamellar bone: Perforating canals and interstitial lamellae</w:t>
      </w:r>
      <w:r>
        <w:t xml:space="preserve">.</w:t>
      </w:r>
    </w:p>
    <w:p>
      <w:pPr>
        <w:pStyle w:val="Compact"/>
        <w:numPr>
          <w:ilvl w:val="0"/>
          <w:numId w:val="1051"/>
        </w:numPr>
      </w:pPr>
      <w:r>
        <w:rPr>
          <w:b/>
          <w:bCs/>
        </w:rPr>
        <w:t xml:space="preserve">Fig. 8–14</w:t>
      </w:r>
      <w:r>
        <w:t xml:space="preserve"> </w:t>
      </w:r>
      <w:r>
        <w:t xml:space="preserve">—</w:t>
      </w:r>
      <w:r>
        <w:t xml:space="preserve"> </w:t>
      </w:r>
      <w:r>
        <w:rPr>
          <w:i/>
          <w:iCs/>
        </w:rPr>
        <w:t xml:space="preserve">Osteogenesis of long bones by endochondral ossification</w:t>
      </w:r>
      <w:r>
        <w:t xml:space="preserve">.</w:t>
      </w:r>
    </w:p>
    <w:p>
      <w:pPr>
        <w:pStyle w:val="Compact"/>
        <w:numPr>
          <w:ilvl w:val="0"/>
          <w:numId w:val="1051"/>
        </w:numPr>
      </w:pPr>
      <w:r>
        <w:rPr>
          <w:b/>
          <w:bCs/>
        </w:rPr>
        <w:t xml:space="preserve">Fig. 8–19</w:t>
      </w:r>
      <w:r>
        <w:t xml:space="preserve"> </w:t>
      </w:r>
      <w:r>
        <w:t xml:space="preserve">—</w:t>
      </w:r>
      <w:r>
        <w:t xml:space="preserve"> </w:t>
      </w:r>
      <w:r>
        <w:rPr>
          <w:i/>
          <w:iCs/>
        </w:rPr>
        <w:t xml:space="preserve">Main features of bone fracture repair</w:t>
      </w:r>
      <w:r>
        <w:t xml:space="preserve">.</w:t>
      </w:r>
    </w:p>
    <w:p>
      <w:pPr>
        <w:pStyle w:val="Compact"/>
        <w:numPr>
          <w:ilvl w:val="0"/>
          <w:numId w:val="1051"/>
        </w:numPr>
      </w:pPr>
      <w:r>
        <w:rPr>
          <w:b/>
          <w:bCs/>
        </w:rPr>
        <w:t xml:space="preserve">Fig. 8–23</w:t>
      </w:r>
      <w:r>
        <w:t xml:space="preserve"> </w:t>
      </w:r>
      <w:r>
        <w:t xml:space="preserve">—</w:t>
      </w:r>
      <w:r>
        <w:t xml:space="preserve"> </w:t>
      </w:r>
      <w:r>
        <w:rPr>
          <w:i/>
          <w:iCs/>
        </w:rPr>
        <w:t xml:space="preserve">Articular cartilage</w:t>
      </w:r>
      <w:r>
        <w:t xml:space="preserve">.</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8"/>
        </w:numPr>
      </w:pPr>
      <w:r>
        <w:rPr>
          <w:b/>
          <w:bCs/>
        </w:rPr>
        <w:t xml:space="preserve">Fig. 9–1</w:t>
      </w:r>
      <w:r>
        <w:t xml:space="preserve"> </w:t>
      </w:r>
      <w:r>
        <w:t xml:space="preserve">—</w:t>
      </w:r>
      <w:r>
        <w:t xml:space="preserve"> </w:t>
      </w:r>
      <w:r>
        <w:rPr>
          <w:i/>
          <w:iCs/>
        </w:rPr>
        <w:t xml:space="preserve">The general organization of the nervous system</w:t>
      </w:r>
      <w:r>
        <w:t xml:space="preserve">.</w:t>
      </w:r>
    </w:p>
    <w:p>
      <w:pPr>
        <w:pStyle w:val="Compact"/>
        <w:numPr>
          <w:ilvl w:val="0"/>
          <w:numId w:val="1058"/>
        </w:numPr>
      </w:pPr>
      <w:r>
        <w:rPr>
          <w:b/>
          <w:bCs/>
        </w:rPr>
        <w:t xml:space="preserve">Fig. 9–7</w:t>
      </w:r>
      <w:r>
        <w:t xml:space="preserve"> </w:t>
      </w:r>
      <w:r>
        <w:t xml:space="preserve">—</w:t>
      </w:r>
      <w:r>
        <w:t xml:space="preserve"> </w:t>
      </w:r>
      <w:r>
        <w:rPr>
          <w:i/>
          <w:iCs/>
        </w:rPr>
        <w:t xml:space="preserve">Types of synapses</w:t>
      </w:r>
      <w:r>
        <w:t xml:space="preserve">.</w:t>
      </w:r>
    </w:p>
    <w:p>
      <w:pPr>
        <w:pStyle w:val="Compact"/>
        <w:numPr>
          <w:ilvl w:val="0"/>
          <w:numId w:val="1058"/>
        </w:numPr>
      </w:pPr>
      <w:r>
        <w:rPr>
          <w:b/>
          <w:bCs/>
        </w:rPr>
        <w:t xml:space="preserve">Fig. 9–13</w:t>
      </w:r>
      <w:r>
        <w:t xml:space="preserve"> </w:t>
      </w:r>
      <w:r>
        <w:t xml:space="preserve">—</w:t>
      </w:r>
      <w:r>
        <w:t xml:space="preserve"> </w:t>
      </w:r>
      <w:r>
        <w:rPr>
          <w:i/>
          <w:iCs/>
        </w:rPr>
        <w:t xml:space="preserve">Satellite cells around neurons of ganglia in the PNS</w:t>
      </w:r>
      <w:r>
        <w:t xml:space="preserve">.</w:t>
      </w:r>
    </w:p>
    <w:p>
      <w:pPr>
        <w:pStyle w:val="Compact"/>
        <w:numPr>
          <w:ilvl w:val="0"/>
          <w:numId w:val="1058"/>
        </w:numPr>
      </w:pPr>
      <w:r>
        <w:rPr>
          <w:b/>
          <w:bCs/>
        </w:rPr>
        <w:t xml:space="preserve">Fig. 9–18</w:t>
      </w:r>
      <w:r>
        <w:t xml:space="preserve"> </w:t>
      </w:r>
      <w:r>
        <w:t xml:space="preserve">—</w:t>
      </w:r>
      <w:r>
        <w:t xml:space="preserve"> </w:t>
      </w:r>
      <w:r>
        <w:rPr>
          <w:i/>
          <w:iCs/>
        </w:rPr>
        <w:t xml:space="preserve">Spinal cord and meninges</w:t>
      </w:r>
      <w:r>
        <w:t xml:space="preserve">.</w:t>
      </w:r>
    </w:p>
    <w:p>
      <w:pPr>
        <w:pStyle w:val="Compact"/>
        <w:numPr>
          <w:ilvl w:val="0"/>
          <w:numId w:val="1058"/>
        </w:numPr>
      </w:pPr>
      <w:r>
        <w:rPr>
          <w:b/>
          <w:bCs/>
        </w:rPr>
        <w:t xml:space="preserve">Fig. 9–24</w:t>
      </w:r>
      <w:r>
        <w:t xml:space="preserve"> </w:t>
      </w:r>
      <w:r>
        <w:t xml:space="preserve">—</w:t>
      </w:r>
      <w:r>
        <w:t xml:space="preserve"> </w:t>
      </w:r>
      <w:r>
        <w:rPr>
          <w:i/>
          <w:iCs/>
        </w:rPr>
        <w:t xml:space="preserve">Node of Ranvier and endoneurium</w:t>
      </w:r>
      <w:r>
        <w:t xml:space="preserve">.</w:t>
      </w:r>
    </w:p>
    <w:p>
      <w:pPr>
        <w:pStyle w:val="Compact"/>
        <w:numPr>
          <w:ilvl w:val="0"/>
          <w:numId w:val="1058"/>
        </w:numPr>
      </w:pPr>
      <w:r>
        <w:rPr>
          <w:b/>
          <w:bCs/>
        </w:rPr>
        <w:t xml:space="preserve">Fig. 9–30</w:t>
      </w:r>
      <w:r>
        <w:t xml:space="preserve"> </w:t>
      </w:r>
      <w:r>
        <w:t xml:space="preserve">—</w:t>
      </w:r>
      <w:r>
        <w:t xml:space="preserve"> </w:t>
      </w:r>
      <w:r>
        <w:rPr>
          <w:i/>
          <w:iCs/>
        </w:rPr>
        <w:t xml:space="preserve">Regeneration in peripheral nerves</w:t>
      </w:r>
      <w:r>
        <w:t xml:space="preserve">.</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4"/>
        </w:numPr>
      </w:pPr>
      <w:r>
        <w:rPr>
          <w:b/>
          <w:bCs/>
        </w:rPr>
        <w:t xml:space="preserve">Fig. 10–1</w:t>
      </w:r>
      <w:r>
        <w:t xml:space="preserve"> </w:t>
      </w:r>
      <w:r>
        <w:t xml:space="preserve">—</w:t>
      </w:r>
      <w:r>
        <w:t xml:space="preserve"> </w:t>
      </w:r>
      <w:r>
        <w:rPr>
          <w:i/>
          <w:iCs/>
        </w:rPr>
        <w:t xml:space="preserve">Three types of muscle</w:t>
      </w:r>
      <w:r>
        <w:t xml:space="preserve">.</w:t>
      </w:r>
    </w:p>
    <w:p>
      <w:pPr>
        <w:pStyle w:val="Compact"/>
        <w:numPr>
          <w:ilvl w:val="0"/>
          <w:numId w:val="1064"/>
        </w:numPr>
      </w:pPr>
      <w:r>
        <w:rPr>
          <w:b/>
          <w:bCs/>
        </w:rPr>
        <w:t xml:space="preserve">Fig. 10–5</w:t>
      </w:r>
      <w:r>
        <w:t xml:space="preserve"> </w:t>
      </w:r>
      <w:r>
        <w:t xml:space="preserve">—</w:t>
      </w:r>
      <w:r>
        <w:t xml:space="preserve"> </w:t>
      </w:r>
      <w:r>
        <w:rPr>
          <w:i/>
          <w:iCs/>
        </w:rPr>
        <w:t xml:space="preserve">Capillaries of skeletal muscle</w:t>
      </w:r>
      <w:r>
        <w:t xml:space="preserve">.</w:t>
      </w:r>
    </w:p>
    <w:p>
      <w:pPr>
        <w:pStyle w:val="Compact"/>
        <w:numPr>
          <w:ilvl w:val="0"/>
          <w:numId w:val="1064"/>
        </w:numPr>
      </w:pPr>
      <w:r>
        <w:rPr>
          <w:b/>
          <w:bCs/>
        </w:rPr>
        <w:t xml:space="preserve">Fig. 10–9</w:t>
      </w:r>
      <w:r>
        <w:t xml:space="preserve"> </w:t>
      </w:r>
      <w:r>
        <w:t xml:space="preserve">—</w:t>
      </w:r>
      <w:r>
        <w:t xml:space="preserve"> </w:t>
      </w:r>
      <w:r>
        <w:rPr>
          <w:i/>
          <w:iCs/>
        </w:rPr>
        <w:t xml:space="preserve">Organization of a skeletal muscle fiber</w:t>
      </w:r>
      <w:r>
        <w:t xml:space="preserve">.</w:t>
      </w:r>
    </w:p>
    <w:p>
      <w:pPr>
        <w:pStyle w:val="Compact"/>
        <w:numPr>
          <w:ilvl w:val="0"/>
          <w:numId w:val="1064"/>
        </w:numPr>
      </w:pPr>
      <w:r>
        <w:rPr>
          <w:b/>
          <w:bCs/>
        </w:rPr>
        <w:t xml:space="preserve">Fig. 10–12</w:t>
      </w:r>
      <w:r>
        <w:t xml:space="preserve"> </w:t>
      </w:r>
      <w:r>
        <w:t xml:space="preserve">—</w:t>
      </w:r>
      <w:r>
        <w:t xml:space="preserve"> </w:t>
      </w:r>
      <w:r>
        <w:rPr>
          <w:i/>
          <w:iCs/>
        </w:rPr>
        <w:t xml:space="preserve">Sliding filaments and sarcomere shortening in contraction</w:t>
      </w:r>
      <w:r>
        <w:t xml:space="preserve">.</w:t>
      </w:r>
    </w:p>
    <w:p>
      <w:pPr>
        <w:pStyle w:val="Compact"/>
        <w:numPr>
          <w:ilvl w:val="0"/>
          <w:numId w:val="1064"/>
        </w:numPr>
      </w:pPr>
      <w:r>
        <w:rPr>
          <w:b/>
          <w:bCs/>
        </w:rPr>
        <w:t xml:space="preserve">Fig. 10–16</w:t>
      </w:r>
      <w:r>
        <w:t xml:space="preserve"> </w:t>
      </w:r>
      <w:r>
        <w:t xml:space="preserve">—</w:t>
      </w:r>
      <w:r>
        <w:t xml:space="preserve"> </w:t>
      </w:r>
      <w:r>
        <w:rPr>
          <w:i/>
          <w:iCs/>
        </w:rPr>
        <w:t xml:space="preserve">Cardiac muscle: Intercalated discs</w:t>
      </w:r>
      <w:r>
        <w:t xml:space="preserve">.</w:t>
      </w:r>
    </w:p>
    <w:p>
      <w:pPr>
        <w:pStyle w:val="Compact"/>
        <w:numPr>
          <w:ilvl w:val="0"/>
          <w:numId w:val="1064"/>
        </w:numPr>
      </w:pPr>
      <w:r>
        <w:rPr>
          <w:b/>
          <w:bCs/>
        </w:rPr>
        <w:t xml:space="preserve">Fig. 10–20</w:t>
      </w:r>
      <w:r>
        <w:t xml:space="preserve"> </w:t>
      </w:r>
      <w:r>
        <w:t xml:space="preserve">—</w:t>
      </w:r>
      <w:r>
        <w:t xml:space="preserve"> </w:t>
      </w:r>
      <w:r>
        <w:rPr>
          <w:i/>
          <w:iCs/>
        </w:rPr>
        <w:t xml:space="preserve">Smooth muscle contraction</w:t>
      </w:r>
      <w:r>
        <w:t xml:space="preserve">.</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9"/>
        </w:numPr>
      </w:pPr>
      <w:r>
        <w:rPr>
          <w:b/>
          <w:bCs/>
        </w:rPr>
        <w:t xml:space="preserve">Fig. 11–1</w:t>
      </w:r>
      <w:r>
        <w:t xml:space="preserve"> </w:t>
      </w:r>
      <w:r>
        <w:t xml:space="preserve">—</w:t>
      </w:r>
      <w:r>
        <w:t xml:space="preserve"> </w:t>
      </w:r>
      <w:r>
        <w:rPr>
          <w:i/>
          <w:iCs/>
        </w:rPr>
        <w:t xml:space="preserve">The cardiovascular system</w:t>
      </w:r>
      <w:r>
        <w:t xml:space="preserve">.</w:t>
      </w:r>
    </w:p>
    <w:p>
      <w:pPr>
        <w:pStyle w:val="Compact"/>
        <w:numPr>
          <w:ilvl w:val="0"/>
          <w:numId w:val="1069"/>
        </w:numPr>
      </w:pPr>
      <w:r>
        <w:rPr>
          <w:b/>
          <w:bCs/>
        </w:rPr>
        <w:t xml:space="preserve">Fig. 11–6</w:t>
      </w:r>
      <w:r>
        <w:t xml:space="preserve"> </w:t>
      </w:r>
      <w:r>
        <w:t xml:space="preserve">—</w:t>
      </w:r>
      <w:r>
        <w:t xml:space="preserve"> </w:t>
      </w:r>
      <w:r>
        <w:rPr>
          <w:i/>
          <w:iCs/>
        </w:rPr>
        <w:t xml:space="preserve">Walls of arteries and veins</w:t>
      </w:r>
      <w:r>
        <w:t xml:space="preserve">.</w:t>
      </w:r>
    </w:p>
    <w:p>
      <w:pPr>
        <w:pStyle w:val="Compact"/>
        <w:numPr>
          <w:ilvl w:val="0"/>
          <w:numId w:val="1069"/>
        </w:numPr>
      </w:pPr>
      <w:r>
        <w:rPr>
          <w:b/>
          <w:bCs/>
        </w:rPr>
        <w:t xml:space="preserve">Fig. 11–11</w:t>
      </w:r>
      <w:r>
        <w:t xml:space="preserve"> </w:t>
      </w:r>
      <w:r>
        <w:t xml:space="preserve">—</w:t>
      </w:r>
      <w:r>
        <w:t xml:space="preserve"> </w:t>
      </w:r>
      <w:r>
        <w:rPr>
          <w:i/>
          <w:iCs/>
        </w:rPr>
        <w:t xml:space="preserve">Muscular artery</w:t>
      </w:r>
      <w:r>
        <w:t xml:space="preserve">.</w:t>
      </w:r>
    </w:p>
    <w:p>
      <w:pPr>
        <w:pStyle w:val="Compact"/>
        <w:numPr>
          <w:ilvl w:val="0"/>
          <w:numId w:val="1069"/>
        </w:numPr>
      </w:pPr>
      <w:r>
        <w:rPr>
          <w:b/>
          <w:bCs/>
        </w:rPr>
        <w:t xml:space="preserve">Fig. 11–15</w:t>
      </w:r>
      <w:r>
        <w:t xml:space="preserve"> </w:t>
      </w:r>
      <w:r>
        <w:t xml:space="preserve">—</w:t>
      </w:r>
      <w:r>
        <w:t xml:space="preserve"> </w:t>
      </w:r>
      <w:r>
        <w:rPr>
          <w:i/>
          <w:iCs/>
        </w:rPr>
        <w:t xml:space="preserve">Comparison of the simple microvascular pathway with arteriovenous shunts and portal systems</w:t>
      </w:r>
      <w:r>
        <w:t xml:space="preserve">.</w:t>
      </w:r>
    </w:p>
    <w:p>
      <w:pPr>
        <w:pStyle w:val="Compact"/>
        <w:numPr>
          <w:ilvl w:val="0"/>
          <w:numId w:val="1069"/>
        </w:numPr>
      </w:pPr>
      <w:r>
        <w:rPr>
          <w:b/>
          <w:bCs/>
        </w:rPr>
        <w:t xml:space="preserve">Fig. 11–20</w:t>
      </w:r>
      <w:r>
        <w:t xml:space="preserve"> </w:t>
      </w:r>
      <w:r>
        <w:t xml:space="preserve">—</w:t>
      </w:r>
      <w:r>
        <w:t xml:space="preserve"> </w:t>
      </w:r>
      <w:r>
        <w:rPr>
          <w:i/>
          <w:iCs/>
        </w:rPr>
        <w:t xml:space="preserve">Sinusoidal capillary</w:t>
      </w:r>
      <w:r>
        <w:t xml:space="preserve">.</w:t>
      </w:r>
    </w:p>
    <w:p>
      <w:pPr>
        <w:pStyle w:val="Compact"/>
        <w:numPr>
          <w:ilvl w:val="0"/>
          <w:numId w:val="1069"/>
        </w:numPr>
      </w:pPr>
      <w:r>
        <w:rPr>
          <w:b/>
          <w:bCs/>
        </w:rPr>
        <w:t xml:space="preserve">Fig. 11–25</w:t>
      </w:r>
      <w:r>
        <w:t xml:space="preserve"> </w:t>
      </w:r>
      <w:r>
        <w:t xml:space="preserve">—</w:t>
      </w:r>
      <w:r>
        <w:t xml:space="preserve"> </w:t>
      </w:r>
      <w:r>
        <w:rPr>
          <w:i/>
          <w:iCs/>
        </w:rPr>
        <w:t xml:space="preserve">Lymphatic vessels and valve</w:t>
      </w:r>
      <w:r>
        <w:t xml:space="preserve">.</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 (supplementary standard value, not stated in the chapter).</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three steps of hemostasis?</w:t>
      </w:r>
      <w:r>
        <w:t xml:space="preserve"> </w:t>
      </w:r>
      <w:r>
        <w:t xml:space="preserve">— Vascular spasm, platelet plug formation, and coagulation (fibrin clot).</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4"/>
        </w:numPr>
      </w:pPr>
      <w:r>
        <w:rPr>
          <w:b/>
          <w:bCs/>
        </w:rPr>
        <w:t xml:space="preserve">Fig. 12–1</w:t>
      </w:r>
      <w:r>
        <w:t xml:space="preserve"> </w:t>
      </w:r>
      <w:r>
        <w:t xml:space="preserve">—</w:t>
      </w:r>
      <w:r>
        <w:t xml:space="preserve"> </w:t>
      </w:r>
      <w:r>
        <w:rPr>
          <w:i/>
          <w:iCs/>
        </w:rPr>
        <w:t xml:space="preserve">Composition of whole blood</w:t>
      </w:r>
      <w:r>
        <w:t xml:space="preserve">.</w:t>
      </w:r>
    </w:p>
    <w:p>
      <w:pPr>
        <w:pStyle w:val="Compact"/>
        <w:numPr>
          <w:ilvl w:val="0"/>
          <w:numId w:val="1074"/>
        </w:numPr>
      </w:pPr>
      <w:r>
        <w:rPr>
          <w:b/>
          <w:bCs/>
        </w:rPr>
        <w:t xml:space="preserve">Fig. 12–4</w:t>
      </w:r>
      <w:r>
        <w:t xml:space="preserve"> </w:t>
      </w:r>
      <w:r>
        <w:t xml:space="preserve">—</w:t>
      </w:r>
      <w:r>
        <w:t xml:space="preserve"> </w:t>
      </w:r>
      <w:r>
        <w:rPr>
          <w:i/>
          <w:iCs/>
        </w:rPr>
        <w:t xml:space="preserve">Normal human erythrocytes</w:t>
      </w:r>
      <w:r>
        <w:t xml:space="preserve">.</w:t>
      </w:r>
    </w:p>
    <w:p>
      <w:pPr>
        <w:pStyle w:val="Compact"/>
        <w:numPr>
          <w:ilvl w:val="0"/>
          <w:numId w:val="1074"/>
        </w:numPr>
      </w:pPr>
      <w:r>
        <w:rPr>
          <w:b/>
          <w:bCs/>
        </w:rPr>
        <w:t xml:space="preserve">Fig. 12–6</w:t>
      </w:r>
      <w:r>
        <w:t xml:space="preserve"> </w:t>
      </w:r>
      <w:r>
        <w:t xml:space="preserve">—</w:t>
      </w:r>
      <w:r>
        <w:t xml:space="preserve"> </w:t>
      </w:r>
      <w:r>
        <w:rPr>
          <w:i/>
          <w:iCs/>
        </w:rPr>
        <w:t xml:space="preserve">Diagram of events involving leukocytes in a postcapillary venule at sites of inflammation</w:t>
      </w:r>
      <w:r>
        <w:t xml:space="preserve">.</w:t>
      </w:r>
    </w:p>
    <w:p>
      <w:pPr>
        <w:pStyle w:val="Compact"/>
        <w:numPr>
          <w:ilvl w:val="0"/>
          <w:numId w:val="1074"/>
        </w:numPr>
      </w:pPr>
      <w:r>
        <w:rPr>
          <w:b/>
          <w:bCs/>
        </w:rPr>
        <w:t xml:space="preserve">Fig. 12–9</w:t>
      </w:r>
      <w:r>
        <w:t xml:space="preserve"> </w:t>
      </w:r>
      <w:r>
        <w:t xml:space="preserve">—</w:t>
      </w:r>
      <w:r>
        <w:t xml:space="preserve"> </w:t>
      </w:r>
      <w:r>
        <w:rPr>
          <w:i/>
          <w:iCs/>
        </w:rPr>
        <w:t xml:space="preserve">Eosinophils</w:t>
      </w:r>
      <w:r>
        <w:t xml:space="preserve">.</w:t>
      </w:r>
    </w:p>
    <w:p>
      <w:pPr>
        <w:pStyle w:val="Compact"/>
        <w:numPr>
          <w:ilvl w:val="0"/>
          <w:numId w:val="1074"/>
        </w:numPr>
      </w:pPr>
      <w:r>
        <w:rPr>
          <w:b/>
          <w:bCs/>
        </w:rPr>
        <w:t xml:space="preserve">Fig. 12–11</w:t>
      </w:r>
      <w:r>
        <w:t xml:space="preserve"> </w:t>
      </w:r>
      <w:r>
        <w:t xml:space="preserve">—</w:t>
      </w:r>
      <w:r>
        <w:t xml:space="preserve"> </w:t>
      </w:r>
      <w:r>
        <w:rPr>
          <w:i/>
          <w:iCs/>
        </w:rPr>
        <w:t xml:space="preserve">Lymphocytes</w:t>
      </w:r>
      <w:r>
        <w:t xml:space="preserve">.</w:t>
      </w:r>
    </w:p>
    <w:p>
      <w:pPr>
        <w:pStyle w:val="Compact"/>
        <w:numPr>
          <w:ilvl w:val="0"/>
          <w:numId w:val="1074"/>
        </w:numPr>
      </w:pPr>
      <w:r>
        <w:rPr>
          <w:b/>
          <w:bCs/>
        </w:rPr>
        <w:t xml:space="preserve">Fig. 12–14</w:t>
      </w:r>
      <w:r>
        <w:t xml:space="preserve"> </w:t>
      </w:r>
      <w:r>
        <w:t xml:space="preserve">—</w:t>
      </w:r>
      <w:r>
        <w:t xml:space="preserve"> </w:t>
      </w:r>
      <w:r>
        <w:rPr>
          <w:i/>
          <w:iCs/>
        </w:rPr>
        <w:t xml:space="preserve">Platelet aggregation, degranulation, and fibrin clot formation</w:t>
      </w:r>
      <w:r>
        <w:t xml:space="preserve">.</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8"/>
        </w:numPr>
      </w:pPr>
      <w:r>
        <w:rPr>
          <w:b/>
          <w:bCs/>
        </w:rPr>
        <w:t xml:space="preserve">Fig. 13–1</w:t>
      </w:r>
      <w:r>
        <w:t xml:space="preserve"> </w:t>
      </w:r>
      <w:r>
        <w:t xml:space="preserve">—</w:t>
      </w:r>
      <w:r>
        <w:t xml:space="preserve"> </w:t>
      </w:r>
      <w:r>
        <w:rPr>
          <w:i/>
          <w:iCs/>
        </w:rPr>
        <w:t xml:space="preserve">Shifting locations of hemopoiesis during development and aging</w:t>
      </w:r>
      <w:r>
        <w:t xml:space="preserve">.</w:t>
      </w:r>
    </w:p>
    <w:p>
      <w:pPr>
        <w:pStyle w:val="Compact"/>
        <w:numPr>
          <w:ilvl w:val="0"/>
          <w:numId w:val="1078"/>
        </w:numPr>
      </w:pPr>
      <w:r>
        <w:rPr>
          <w:b/>
          <w:bCs/>
        </w:rPr>
        <w:t xml:space="preserve">Fig. 13–4</w:t>
      </w:r>
      <w:r>
        <w:t xml:space="preserve"> </w:t>
      </w:r>
      <w:r>
        <w:t xml:space="preserve">—</w:t>
      </w:r>
      <w:r>
        <w:t xml:space="preserve"> </w:t>
      </w:r>
      <w:r>
        <w:rPr>
          <w:i/>
          <w:iCs/>
        </w:rPr>
        <w:t xml:space="preserve">Red bone marrow (active in hemopoiesis)</w:t>
      </w:r>
      <w:r>
        <w:t xml:space="preserve">.</w:t>
      </w:r>
    </w:p>
    <w:p>
      <w:pPr>
        <w:pStyle w:val="Compact"/>
        <w:numPr>
          <w:ilvl w:val="0"/>
          <w:numId w:val="1078"/>
        </w:numPr>
      </w:pPr>
      <w:r>
        <w:rPr>
          <w:b/>
          <w:bCs/>
        </w:rPr>
        <w:t xml:space="preserve">Fig. 13–6</w:t>
      </w:r>
      <w:r>
        <w:t xml:space="preserve"> </w:t>
      </w:r>
      <w:r>
        <w:t xml:space="preserve">—</w:t>
      </w:r>
      <w:r>
        <w:t xml:space="preserve"> </w:t>
      </w:r>
      <w:r>
        <w:rPr>
          <w:i/>
          <w:iCs/>
        </w:rPr>
        <w:t xml:space="preserve">Summary of erythrocyte maturation</w:t>
      </w:r>
      <w:r>
        <w:t xml:space="preserve">.</w:t>
      </w:r>
    </w:p>
    <w:p>
      <w:pPr>
        <w:pStyle w:val="Compact"/>
        <w:numPr>
          <w:ilvl w:val="0"/>
          <w:numId w:val="1078"/>
        </w:numPr>
      </w:pPr>
      <w:r>
        <w:rPr>
          <w:b/>
          <w:bCs/>
        </w:rPr>
        <w:t xml:space="preserve">Fig. 13–9</w:t>
      </w:r>
      <w:r>
        <w:t xml:space="preserve"> </w:t>
      </w:r>
      <w:r>
        <w:t xml:space="preserve">—</w:t>
      </w:r>
      <w:r>
        <w:t xml:space="preserve"> </w:t>
      </w:r>
      <w:r>
        <w:rPr>
          <w:i/>
          <w:iCs/>
        </w:rPr>
        <w:t xml:space="preserve">Developing erythrocytes and granulocytes in marrow</w:t>
      </w:r>
      <w:r>
        <w:t xml:space="preserve">.</w:t>
      </w:r>
    </w:p>
    <w:p>
      <w:pPr>
        <w:pStyle w:val="Compact"/>
        <w:numPr>
          <w:ilvl w:val="0"/>
          <w:numId w:val="1078"/>
        </w:numPr>
      </w:pPr>
      <w:r>
        <w:rPr>
          <w:b/>
          <w:bCs/>
        </w:rPr>
        <w:t xml:space="preserve">Fig. 13–11</w:t>
      </w:r>
      <w:r>
        <w:t xml:space="preserve"> </w:t>
      </w:r>
      <w:r>
        <w:t xml:space="preserve">—</w:t>
      </w:r>
      <w:r>
        <w:t xml:space="preserve"> </w:t>
      </w:r>
      <w:r>
        <w:rPr>
          <w:i/>
          <w:iCs/>
        </w:rPr>
        <w:t xml:space="preserve">Neutrophilic myelocyte</w:t>
      </w:r>
      <w:r>
        <w:t xml:space="preserve">.</w:t>
      </w:r>
    </w:p>
    <w:p>
      <w:pPr>
        <w:pStyle w:val="Compact"/>
        <w:numPr>
          <w:ilvl w:val="0"/>
          <w:numId w:val="1078"/>
        </w:numPr>
      </w:pPr>
      <w:r>
        <w:rPr>
          <w:b/>
          <w:bCs/>
        </w:rPr>
        <w:t xml:space="preserve">Fig. 13–14</w:t>
      </w:r>
      <w:r>
        <w:t xml:space="preserve"> </w:t>
      </w:r>
      <w:r>
        <w:t xml:space="preserve">—</w:t>
      </w:r>
      <w:r>
        <w:t xml:space="preserve"> </w:t>
      </w:r>
      <w:r>
        <w:rPr>
          <w:i/>
          <w:iCs/>
        </w:rPr>
        <w:t xml:space="preserve">Megakaryocyte ultrastructure</w:t>
      </w:r>
      <w:r>
        <w:t xml:space="preserve">.</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86"/>
        </w:numPr>
      </w:pPr>
      <w:r>
        <w:rPr>
          <w:b/>
          <w:bCs/>
        </w:rPr>
        <w:t xml:space="preserve">Fig. 14–1</w:t>
      </w:r>
      <w:r>
        <w:t xml:space="preserve"> </w:t>
      </w:r>
      <w:r>
        <w:t xml:space="preserve">—</w:t>
      </w:r>
      <w:r>
        <w:t xml:space="preserve"> </w:t>
      </w:r>
      <w:r>
        <w:rPr>
          <w:i/>
          <w:iCs/>
        </w:rPr>
        <w:t xml:space="preserve">The lymphoid organs and main paths of lymphatic vessels</w:t>
      </w:r>
      <w:r>
        <w:t xml:space="preserve">.</w:t>
      </w:r>
    </w:p>
    <w:p>
      <w:pPr>
        <w:pStyle w:val="Compact"/>
        <w:numPr>
          <w:ilvl w:val="0"/>
          <w:numId w:val="1086"/>
        </w:numPr>
      </w:pPr>
      <w:r>
        <w:rPr>
          <w:b/>
          <w:bCs/>
        </w:rPr>
        <w:t xml:space="preserve">Fig. 14–6</w:t>
      </w:r>
      <w:r>
        <w:t xml:space="preserve"> </w:t>
      </w:r>
      <w:r>
        <w:t xml:space="preserve">—</w:t>
      </w:r>
      <w:r>
        <w:t xml:space="preserve"> </w:t>
      </w:r>
      <w:r>
        <w:rPr>
          <w:i/>
          <w:iCs/>
        </w:rPr>
        <w:t xml:space="preserve">Activation of lymphocytes</w:t>
      </w:r>
      <w:r>
        <w:t xml:space="preserve">.</w:t>
      </w:r>
    </w:p>
    <w:p>
      <w:pPr>
        <w:pStyle w:val="Compact"/>
        <w:numPr>
          <w:ilvl w:val="0"/>
          <w:numId w:val="1086"/>
        </w:numPr>
      </w:pPr>
      <w:r>
        <w:rPr>
          <w:b/>
          <w:bCs/>
        </w:rPr>
        <w:t xml:space="preserve">Fig. 14–11</w:t>
      </w:r>
      <w:r>
        <w:t xml:space="preserve"> </w:t>
      </w:r>
      <w:r>
        <w:t xml:space="preserve">—</w:t>
      </w:r>
      <w:r>
        <w:t xml:space="preserve"> </w:t>
      </w:r>
      <w:r>
        <w:rPr>
          <w:i/>
          <w:iCs/>
        </w:rPr>
        <w:t xml:space="preserve">Thymic selection of functional but not self-reactive T cells</w:t>
      </w:r>
      <w:r>
        <w:t xml:space="preserve">.</w:t>
      </w:r>
    </w:p>
    <w:p>
      <w:pPr>
        <w:pStyle w:val="Compact"/>
        <w:numPr>
          <w:ilvl w:val="0"/>
          <w:numId w:val="1086"/>
        </w:numPr>
      </w:pPr>
      <w:r>
        <w:rPr>
          <w:b/>
          <w:bCs/>
        </w:rPr>
        <w:t xml:space="preserve">Fig. 14–16</w:t>
      </w:r>
      <w:r>
        <w:t xml:space="preserve"> </w:t>
      </w:r>
      <w:r>
        <w:t xml:space="preserve">—</w:t>
      </w:r>
      <w:r>
        <w:t xml:space="preserve"> </w:t>
      </w:r>
      <w:r>
        <w:rPr>
          <w:i/>
          <w:iCs/>
        </w:rPr>
        <w:t xml:space="preserve">Regions of a lymph node</w:t>
      </w:r>
      <w:r>
        <w:t xml:space="preserve">.</w:t>
      </w:r>
    </w:p>
    <w:p>
      <w:pPr>
        <w:pStyle w:val="Compact"/>
        <w:numPr>
          <w:ilvl w:val="0"/>
          <w:numId w:val="1086"/>
        </w:numPr>
      </w:pPr>
      <w:r>
        <w:rPr>
          <w:b/>
          <w:bCs/>
        </w:rPr>
        <w:t xml:space="preserve">Fig. 14–21</w:t>
      </w:r>
      <w:r>
        <w:t xml:space="preserve"> </w:t>
      </w:r>
      <w:r>
        <w:t xml:space="preserve">—</w:t>
      </w:r>
      <w:r>
        <w:t xml:space="preserve"> </w:t>
      </w:r>
      <w:r>
        <w:rPr>
          <w:i/>
          <w:iCs/>
        </w:rPr>
        <w:t xml:space="preserve">Spleen</w:t>
      </w:r>
      <w:r>
        <w:t xml:space="preserve">.</w:t>
      </w:r>
    </w:p>
    <w:p>
      <w:pPr>
        <w:pStyle w:val="Compact"/>
        <w:numPr>
          <w:ilvl w:val="0"/>
          <w:numId w:val="1086"/>
        </w:numPr>
      </w:pPr>
      <w:r>
        <w:rPr>
          <w:b/>
          <w:bCs/>
        </w:rPr>
        <w:t xml:space="preserve">Fig. 14–26</w:t>
      </w:r>
      <w:r>
        <w:t xml:space="preserve"> </w:t>
      </w:r>
      <w:r>
        <w:t xml:space="preserve">—</w:t>
      </w:r>
      <w:r>
        <w:t xml:space="preserve"> </w:t>
      </w:r>
      <w:r>
        <w:rPr>
          <w:i/>
          <w:iCs/>
        </w:rPr>
        <w:t xml:space="preserve">Structure and function of splenic sinusoids</w:t>
      </w:r>
      <w:r>
        <w:t xml:space="preserve">.</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88"/>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sparse or absent (they are characteristic of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w:t>
      </w:r>
      <w:r>
        <w:rPr>
          <w:b/>
          <w:bCs/>
        </w:rPr>
        <w:t xml:space="preserve">10–12 cm</w:t>
      </w:r>
      <w:r>
        <w:t xml:space="preserve">) continues as the</w:t>
      </w:r>
      <w:r>
        <w:t xml:space="preserve"> </w:t>
      </w:r>
      <w:r>
        <w:rPr>
          <w:b/>
          <w:bCs/>
        </w:rPr>
        <w:t xml:space="preserve">anal canal</w:t>
      </w:r>
      <w:r>
        <w:t xml:space="preserve"> </w:t>
      </w:r>
      <w:r>
        <w:t xml:space="preserve">(</w:t>
      </w:r>
      <w:r>
        <w:rPr>
          <w:b/>
          <w:bCs/>
        </w:rPr>
        <w:t xml:space="preserve">3–4 cm</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Gut mucosa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93"/>
        </w:numPr>
      </w:pPr>
      <w:r>
        <w:rPr>
          <w:b/>
          <w:bCs/>
        </w:rPr>
        <w:t xml:space="preserve">Fig. 15–1</w:t>
      </w:r>
      <w:r>
        <w:t xml:space="preserve"> </w:t>
      </w:r>
      <w:r>
        <w:t xml:space="preserve">—</w:t>
      </w:r>
      <w:r>
        <w:t xml:space="preserve"> </w:t>
      </w:r>
      <w:r>
        <w:rPr>
          <w:i/>
          <w:iCs/>
        </w:rPr>
        <w:t xml:space="preserve">The digestive system</w:t>
      </w:r>
      <w:r>
        <w:t xml:space="preserve">.</w:t>
      </w:r>
    </w:p>
    <w:p>
      <w:pPr>
        <w:pStyle w:val="Compact"/>
        <w:numPr>
          <w:ilvl w:val="0"/>
          <w:numId w:val="1093"/>
        </w:numPr>
      </w:pPr>
      <w:r>
        <w:rPr>
          <w:b/>
          <w:bCs/>
        </w:rPr>
        <w:t xml:space="preserve">Fig. 15–8</w:t>
      </w:r>
      <w:r>
        <w:t xml:space="preserve"> </w:t>
      </w:r>
      <w:r>
        <w:t xml:space="preserve">—</w:t>
      </w:r>
      <w:r>
        <w:t xml:space="preserve"> </w:t>
      </w:r>
      <w:r>
        <w:rPr>
          <w:i/>
          <w:iCs/>
        </w:rPr>
        <w:t xml:space="preserve">Ultrastructure of dentinal tubule</w:t>
      </w:r>
      <w:r>
        <w:t xml:space="preserve">.</w:t>
      </w:r>
    </w:p>
    <w:p>
      <w:pPr>
        <w:pStyle w:val="Compact"/>
        <w:numPr>
          <w:ilvl w:val="0"/>
          <w:numId w:val="1093"/>
        </w:numPr>
      </w:pPr>
      <w:r>
        <w:rPr>
          <w:b/>
          <w:bCs/>
        </w:rPr>
        <w:t xml:space="preserve">Fig. 15–15</w:t>
      </w:r>
      <w:r>
        <w:t xml:space="preserve"> </w:t>
      </w:r>
      <w:r>
        <w:t xml:space="preserve">—</w:t>
      </w:r>
      <w:r>
        <w:t xml:space="preserve"> </w:t>
      </w:r>
      <w:r>
        <w:rPr>
          <w:i/>
          <w:iCs/>
        </w:rPr>
        <w:t xml:space="preserve">Wall of the stomach with rugae</w:t>
      </w:r>
      <w:r>
        <w:t xml:space="preserve">.</w:t>
      </w:r>
    </w:p>
    <w:p>
      <w:pPr>
        <w:pStyle w:val="Compact"/>
        <w:numPr>
          <w:ilvl w:val="0"/>
          <w:numId w:val="1093"/>
        </w:numPr>
      </w:pPr>
      <w:r>
        <w:rPr>
          <w:b/>
          <w:bCs/>
        </w:rPr>
        <w:t xml:space="preserve">Fig. 15–21</w:t>
      </w:r>
      <w:r>
        <w:t xml:space="preserve"> </w:t>
      </w:r>
      <w:r>
        <w:t xml:space="preserve">—</w:t>
      </w:r>
      <w:r>
        <w:t xml:space="preserve"> </w:t>
      </w:r>
      <w:r>
        <w:rPr>
          <w:i/>
          <w:iCs/>
        </w:rPr>
        <w:t xml:space="preserve">Pyloric glands</w:t>
      </w:r>
      <w:r>
        <w:t xml:space="preserve">.</w:t>
      </w:r>
    </w:p>
    <w:p>
      <w:pPr>
        <w:pStyle w:val="Compact"/>
        <w:numPr>
          <w:ilvl w:val="0"/>
          <w:numId w:val="1093"/>
        </w:numPr>
      </w:pPr>
      <w:r>
        <w:rPr>
          <w:b/>
          <w:bCs/>
        </w:rPr>
        <w:t xml:space="preserve">Fig. 15–28</w:t>
      </w:r>
      <w:r>
        <w:t xml:space="preserve"> </w:t>
      </w:r>
      <w:r>
        <w:t xml:space="preserve">—</w:t>
      </w:r>
      <w:r>
        <w:t xml:space="preserve"> </w:t>
      </w:r>
      <w:r>
        <w:rPr>
          <w:i/>
          <w:iCs/>
        </w:rPr>
        <w:t xml:space="preserve">Microvasculature, lymphatics, and muscle in villi</w:t>
      </w:r>
      <w:r>
        <w:t xml:space="preserve">.</w:t>
      </w:r>
    </w:p>
    <w:p>
      <w:pPr>
        <w:pStyle w:val="Compact"/>
        <w:numPr>
          <w:ilvl w:val="0"/>
          <w:numId w:val="1093"/>
        </w:numPr>
      </w:pPr>
      <w:r>
        <w:rPr>
          <w:b/>
          <w:bCs/>
        </w:rPr>
        <w:t xml:space="preserve">Fig. 15–34</w:t>
      </w:r>
      <w:r>
        <w:t xml:space="preserve"> </w:t>
      </w:r>
      <w:r>
        <w:t xml:space="preserve">—</w:t>
      </w:r>
      <w:r>
        <w:t xml:space="preserve"> </w:t>
      </w:r>
      <w:r>
        <w:rPr>
          <w:i/>
          <w:iCs/>
        </w:rPr>
        <w:t xml:space="preserve">Mucosa of the rectoanal junction</w:t>
      </w:r>
      <w:r>
        <w:t xml:space="preserve">.</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0"/>
        </w:numPr>
      </w:pPr>
      <w:r>
        <w:rPr>
          <w:b/>
          <w:bCs/>
        </w:rPr>
        <w:t xml:space="preserve">Fig. 16–1</w:t>
      </w:r>
      <w:r>
        <w:t xml:space="preserve"> </w:t>
      </w:r>
      <w:r>
        <w:t xml:space="preserve">—</w:t>
      </w:r>
      <w:r>
        <w:t xml:space="preserve"> </w:t>
      </w:r>
      <w:r>
        <w:rPr>
          <w:i/>
          <w:iCs/>
        </w:rPr>
        <w:t xml:space="preserve">Major salivary glands</w:t>
      </w:r>
      <w:r>
        <w:t xml:space="preserve">.</w:t>
      </w:r>
    </w:p>
    <w:p>
      <w:pPr>
        <w:pStyle w:val="Compact"/>
        <w:numPr>
          <w:ilvl w:val="0"/>
          <w:numId w:val="1100"/>
        </w:numPr>
      </w:pPr>
      <w:r>
        <w:rPr>
          <w:b/>
          <w:bCs/>
        </w:rPr>
        <w:t xml:space="preserve">Fig. 16–5</w:t>
      </w:r>
      <w:r>
        <w:t xml:space="preserve"> </w:t>
      </w:r>
      <w:r>
        <w:t xml:space="preserve">—</w:t>
      </w:r>
      <w:r>
        <w:t xml:space="preserve"> </w:t>
      </w:r>
      <w:r>
        <w:rPr>
          <w:i/>
          <w:iCs/>
        </w:rPr>
        <w:t xml:space="preserve">Submandibular gland and sublingual gland</w:t>
      </w:r>
      <w:r>
        <w:t xml:space="preserve">.</w:t>
      </w:r>
    </w:p>
    <w:p>
      <w:pPr>
        <w:pStyle w:val="Compact"/>
        <w:numPr>
          <w:ilvl w:val="0"/>
          <w:numId w:val="1100"/>
        </w:numPr>
      </w:pPr>
      <w:r>
        <w:rPr>
          <w:b/>
          <w:bCs/>
        </w:rPr>
        <w:t xml:space="preserve">Fig. 16–9</w:t>
      </w:r>
      <w:r>
        <w:t xml:space="preserve"> </w:t>
      </w:r>
      <w:r>
        <w:t xml:space="preserve">—</w:t>
      </w:r>
      <w:r>
        <w:t xml:space="preserve"> </w:t>
      </w:r>
      <w:r>
        <w:rPr>
          <w:i/>
          <w:iCs/>
        </w:rPr>
        <w:t xml:space="preserve">Pancreatic acini</w:t>
      </w:r>
      <w:r>
        <w:t xml:space="preserve">.</w:t>
      </w:r>
    </w:p>
    <w:p>
      <w:pPr>
        <w:pStyle w:val="Compact"/>
        <w:numPr>
          <w:ilvl w:val="0"/>
          <w:numId w:val="1100"/>
        </w:numPr>
      </w:pPr>
      <w:r>
        <w:rPr>
          <w:b/>
          <w:bCs/>
        </w:rPr>
        <w:t xml:space="preserve">Fig. 16–12</w:t>
      </w:r>
      <w:r>
        <w:t xml:space="preserve"> </w:t>
      </w:r>
      <w:r>
        <w:t xml:space="preserve">—</w:t>
      </w:r>
      <w:r>
        <w:t xml:space="preserve"> </w:t>
      </w:r>
      <w:r>
        <w:rPr>
          <w:i/>
          <w:iCs/>
        </w:rPr>
        <w:t xml:space="preserve">Hepatic lobule</w:t>
      </w:r>
      <w:r>
        <w:t xml:space="preserve">.</w:t>
      </w:r>
    </w:p>
    <w:p>
      <w:pPr>
        <w:pStyle w:val="Compact"/>
        <w:numPr>
          <w:ilvl w:val="0"/>
          <w:numId w:val="1100"/>
        </w:numPr>
      </w:pPr>
      <w:r>
        <w:rPr>
          <w:b/>
          <w:bCs/>
        </w:rPr>
        <w:t xml:space="preserve">Fig. 16–16</w:t>
      </w:r>
      <w:r>
        <w:t xml:space="preserve"> </w:t>
      </w:r>
      <w:r>
        <w:t xml:space="preserve">—</w:t>
      </w:r>
      <w:r>
        <w:t xml:space="preserve"> </w:t>
      </w:r>
      <w:r>
        <w:rPr>
          <w:i/>
          <w:iCs/>
        </w:rPr>
        <w:t xml:space="preserve">Hepatocyte ultrastructure and major functions</w:t>
      </w:r>
      <w:r>
        <w:t xml:space="preserve">.</w:t>
      </w:r>
    </w:p>
    <w:p>
      <w:pPr>
        <w:pStyle w:val="Compact"/>
        <w:numPr>
          <w:ilvl w:val="0"/>
          <w:numId w:val="1100"/>
        </w:numPr>
      </w:pPr>
      <w:r>
        <w:rPr>
          <w:b/>
          <w:bCs/>
        </w:rPr>
        <w:t xml:space="preserve">Fig. 16–20</w:t>
      </w:r>
      <w:r>
        <w:t xml:space="preserve"> </w:t>
      </w:r>
      <w:r>
        <w:t xml:space="preserve">—</w:t>
      </w:r>
      <w:r>
        <w:t xml:space="preserve"> </w:t>
      </w:r>
      <w:r>
        <w:rPr>
          <w:i/>
          <w:iCs/>
        </w:rPr>
        <w:t xml:space="preserve">Gallbladder</w:t>
      </w:r>
      <w:r>
        <w:t xml:space="preserve">.</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with about a dozen C-shaped rings.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9"/>
        </w:numPr>
      </w:pPr>
      <w:r>
        <w:rPr>
          <w:b/>
          <w:bCs/>
        </w:rPr>
        <w:t xml:space="preserve">Fig. 17–1</w:t>
      </w:r>
      <w:r>
        <w:t xml:space="preserve"> </w:t>
      </w:r>
      <w:r>
        <w:t xml:space="preserve">—</w:t>
      </w:r>
      <w:r>
        <w:t xml:space="preserve"> </w:t>
      </w:r>
      <w:r>
        <w:rPr>
          <w:i/>
          <w:iCs/>
        </w:rPr>
        <w:t xml:space="preserve">Anatomy of the respiratory system</w:t>
      </w:r>
      <w:r>
        <w:t xml:space="preserve">.</w:t>
      </w:r>
    </w:p>
    <w:p>
      <w:pPr>
        <w:pStyle w:val="Compact"/>
        <w:numPr>
          <w:ilvl w:val="0"/>
          <w:numId w:val="1109"/>
        </w:numPr>
      </w:pPr>
      <w:r>
        <w:rPr>
          <w:b/>
          <w:bCs/>
        </w:rPr>
        <w:t xml:space="preserve">Fig. 17–4</w:t>
      </w:r>
      <w:r>
        <w:t xml:space="preserve"> </w:t>
      </w:r>
      <w:r>
        <w:t xml:space="preserve">—</w:t>
      </w:r>
      <w:r>
        <w:t xml:space="preserve"> </w:t>
      </w:r>
      <w:r>
        <w:rPr>
          <w:i/>
          <w:iCs/>
        </w:rPr>
        <w:t xml:space="preserve">Larynx</w:t>
      </w:r>
      <w:r>
        <w:t xml:space="preserve">.</w:t>
      </w:r>
    </w:p>
    <w:p>
      <w:pPr>
        <w:pStyle w:val="Compact"/>
        <w:numPr>
          <w:ilvl w:val="0"/>
          <w:numId w:val="1109"/>
        </w:numPr>
      </w:pPr>
      <w:r>
        <w:rPr>
          <w:b/>
          <w:bCs/>
        </w:rPr>
        <w:t xml:space="preserve">Fig. 17–8</w:t>
      </w:r>
      <w:r>
        <w:t xml:space="preserve"> </w:t>
      </w:r>
      <w:r>
        <w:t xml:space="preserve">—</w:t>
      </w:r>
      <w:r>
        <w:t xml:space="preserve"> </w:t>
      </w:r>
      <w:r>
        <w:rPr>
          <w:i/>
          <w:iCs/>
        </w:rPr>
        <w:t xml:space="preserve">Bronchial wall</w:t>
      </w:r>
      <w:r>
        <w:t xml:space="preserve">.</w:t>
      </w:r>
    </w:p>
    <w:p>
      <w:pPr>
        <w:pStyle w:val="Compact"/>
        <w:numPr>
          <w:ilvl w:val="0"/>
          <w:numId w:val="1109"/>
        </w:numPr>
      </w:pPr>
      <w:r>
        <w:rPr>
          <w:b/>
          <w:bCs/>
        </w:rPr>
        <w:t xml:space="preserve">Fig. 17–11</w:t>
      </w:r>
      <w:r>
        <w:t xml:space="preserve"> </w:t>
      </w:r>
      <w:r>
        <w:t xml:space="preserve">—</w:t>
      </w:r>
      <w:r>
        <w:t xml:space="preserve"> </w:t>
      </w:r>
      <w:r>
        <w:rPr>
          <w:i/>
          <w:iCs/>
        </w:rPr>
        <w:t xml:space="preserve">Pulmonary circulation, terminal and respiratory bronchioles, and alveoli</w:t>
      </w:r>
      <w:r>
        <w:t xml:space="preserve">.</w:t>
      </w:r>
    </w:p>
    <w:p>
      <w:pPr>
        <w:pStyle w:val="Compact"/>
        <w:numPr>
          <w:ilvl w:val="0"/>
          <w:numId w:val="1109"/>
        </w:numPr>
      </w:pPr>
      <w:r>
        <w:rPr>
          <w:b/>
          <w:bCs/>
        </w:rPr>
        <w:t xml:space="preserve">Fig. 17–15</w:t>
      </w:r>
      <w:r>
        <w:t xml:space="preserve"> </w:t>
      </w:r>
      <w:r>
        <w:t xml:space="preserve">—</w:t>
      </w:r>
      <w:r>
        <w:t xml:space="preserve"> </w:t>
      </w:r>
      <w:r>
        <w:rPr>
          <w:i/>
          <w:iCs/>
        </w:rPr>
        <w:t xml:space="preserve">Ultrastructure of the blood-air barrier</w:t>
      </w:r>
      <w:r>
        <w:t xml:space="preserve">.</w:t>
      </w:r>
    </w:p>
    <w:p>
      <w:pPr>
        <w:pStyle w:val="Compact"/>
        <w:numPr>
          <w:ilvl w:val="0"/>
          <w:numId w:val="1109"/>
        </w:numPr>
      </w:pPr>
      <w:r>
        <w:rPr>
          <w:b/>
          <w:bCs/>
        </w:rPr>
        <w:t xml:space="preserve">Fig. 17–18</w:t>
      </w:r>
      <w:r>
        <w:t xml:space="preserve"> </w:t>
      </w:r>
      <w:r>
        <w:t xml:space="preserve">—</w:t>
      </w:r>
      <w:r>
        <w:t xml:space="preserve"> </w:t>
      </w:r>
      <w:r>
        <w:rPr>
          <w:i/>
          <w:iCs/>
        </w:rPr>
        <w:t xml:space="preserve">Pleura</w:t>
      </w:r>
      <w:r>
        <w:t xml:space="preserve">.</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15"/>
        </w:numPr>
      </w:pPr>
      <w:r>
        <w:rPr>
          <w:b/>
          <w:bCs/>
        </w:rPr>
        <w:t xml:space="preserve">Fig. 18–1</w:t>
      </w:r>
      <w:r>
        <w:t xml:space="preserve"> </w:t>
      </w:r>
      <w:r>
        <w:t xml:space="preserve">—</w:t>
      </w:r>
      <w:r>
        <w:t xml:space="preserve"> </w:t>
      </w:r>
      <w:r>
        <w:rPr>
          <w:i/>
          <w:iCs/>
        </w:rPr>
        <w:t xml:space="preserve">Layers and appendages of skin</w:t>
      </w:r>
      <w:r>
        <w:t xml:space="preserve">.</w:t>
      </w:r>
    </w:p>
    <w:p>
      <w:pPr>
        <w:pStyle w:val="Compact"/>
        <w:numPr>
          <w:ilvl w:val="0"/>
          <w:numId w:val="1115"/>
        </w:numPr>
      </w:pPr>
      <w:r>
        <w:rPr>
          <w:b/>
          <w:bCs/>
        </w:rPr>
        <w:t xml:space="preserve">Fig. 18–5</w:t>
      </w:r>
      <w:r>
        <w:t xml:space="preserve"> </w:t>
      </w:r>
      <w:r>
        <w:t xml:space="preserve">—</w:t>
      </w:r>
      <w:r>
        <w:t xml:space="preserve"> </w:t>
      </w:r>
      <w:r>
        <w:rPr>
          <w:i/>
          <w:iCs/>
        </w:rPr>
        <w:t xml:space="preserve">Granular and clear layers: thick skin</w:t>
      </w:r>
      <w:r>
        <w:t xml:space="preserve">.</w:t>
      </w:r>
    </w:p>
    <w:p>
      <w:pPr>
        <w:pStyle w:val="Compact"/>
        <w:numPr>
          <w:ilvl w:val="0"/>
          <w:numId w:val="1115"/>
        </w:numPr>
      </w:pPr>
      <w:r>
        <w:rPr>
          <w:b/>
          <w:bCs/>
        </w:rPr>
        <w:t xml:space="preserve">Fig. 18–9</w:t>
      </w:r>
      <w:r>
        <w:t xml:space="preserve"> </w:t>
      </w:r>
      <w:r>
        <w:t xml:space="preserve">—</w:t>
      </w:r>
      <w:r>
        <w:t xml:space="preserve"> </w:t>
      </w:r>
      <w:r>
        <w:rPr>
          <w:i/>
          <w:iCs/>
        </w:rPr>
        <w:t xml:space="preserve">Merkel or tactile cell</w:t>
      </w:r>
      <w:r>
        <w:t xml:space="preserve">.</w:t>
      </w:r>
    </w:p>
    <w:p>
      <w:pPr>
        <w:pStyle w:val="Compact"/>
        <w:numPr>
          <w:ilvl w:val="0"/>
          <w:numId w:val="1115"/>
        </w:numPr>
      </w:pPr>
      <w:r>
        <w:rPr>
          <w:b/>
          <w:bCs/>
        </w:rPr>
        <w:t xml:space="preserve">Fig. 18–12</w:t>
      </w:r>
      <w:r>
        <w:t xml:space="preserve"> </w:t>
      </w:r>
      <w:r>
        <w:t xml:space="preserve">—</w:t>
      </w:r>
      <w:r>
        <w:t xml:space="preserve"> </w:t>
      </w:r>
      <w:r>
        <w:rPr>
          <w:i/>
          <w:iCs/>
        </w:rPr>
        <w:t xml:space="preserve">Meissner and lamellated (Pacinian) corpuscles</w:t>
      </w:r>
      <w:r>
        <w:t xml:space="preserve">.</w:t>
      </w:r>
    </w:p>
    <w:p>
      <w:pPr>
        <w:pStyle w:val="Compact"/>
        <w:numPr>
          <w:ilvl w:val="0"/>
          <w:numId w:val="1115"/>
        </w:numPr>
      </w:pPr>
      <w:r>
        <w:rPr>
          <w:b/>
          <w:bCs/>
        </w:rPr>
        <w:t xml:space="preserve">Fig. 18–16</w:t>
      </w:r>
      <w:r>
        <w:t xml:space="preserve"> </w:t>
      </w:r>
      <w:r>
        <w:t xml:space="preserve">—</w:t>
      </w:r>
      <w:r>
        <w:t xml:space="preserve"> </w:t>
      </w:r>
      <w:r>
        <w:rPr>
          <w:i/>
          <w:iCs/>
        </w:rPr>
        <w:t xml:space="preserve">Glands of skin</w:t>
      </w:r>
      <w:r>
        <w:t xml:space="preserve">.</w:t>
      </w:r>
    </w:p>
    <w:p>
      <w:pPr>
        <w:pStyle w:val="Compact"/>
        <w:numPr>
          <w:ilvl w:val="0"/>
          <w:numId w:val="1115"/>
        </w:numPr>
      </w:pPr>
      <w:r>
        <w:rPr>
          <w:b/>
          <w:bCs/>
        </w:rPr>
        <w:t xml:space="preserve">Fig. 18–20</w:t>
      </w:r>
      <w:r>
        <w:t xml:space="preserve"> </w:t>
      </w:r>
      <w:r>
        <w:t xml:space="preserve">—</w:t>
      </w:r>
      <w:r>
        <w:t xml:space="preserve"> </w:t>
      </w:r>
      <w:r>
        <w:rPr>
          <w:i/>
          <w:iCs/>
        </w:rPr>
        <w:t xml:space="preserve">Major stages of cutaneous wound healing</w:t>
      </w:r>
      <w:r>
        <w:t xml:space="preserve">.</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with a convex lateral border and a concave medial</w:t>
      </w:r>
      <w:r>
        <w:t xml:space="preserve"> </w:t>
      </w:r>
      <w:r>
        <w:rPr>
          <w:b/>
          <w:bCs/>
        </w:rPr>
        <w:t xml:space="preserve">hilum</w:t>
      </w:r>
      <w:r>
        <w:t xml:space="preserve">. 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23"/>
        </w:numPr>
      </w:pPr>
      <w:r>
        <w:rPr>
          <w:b/>
          <w:bCs/>
        </w:rPr>
        <w:t xml:space="preserve">Fig. 19–1</w:t>
      </w:r>
      <w:r>
        <w:t xml:space="preserve"> </w:t>
      </w:r>
      <w:r>
        <w:t xml:space="preserve">—</w:t>
      </w:r>
      <w:r>
        <w:t xml:space="preserve"> </w:t>
      </w:r>
      <w:r>
        <w:rPr>
          <w:i/>
          <w:iCs/>
        </w:rPr>
        <w:t xml:space="preserve">Kidney</w:t>
      </w:r>
      <w:r>
        <w:t xml:space="preserve">.</w:t>
      </w:r>
    </w:p>
    <w:p>
      <w:pPr>
        <w:pStyle w:val="Compact"/>
        <w:numPr>
          <w:ilvl w:val="0"/>
          <w:numId w:val="1123"/>
        </w:numPr>
      </w:pPr>
      <w:r>
        <w:rPr>
          <w:b/>
          <w:bCs/>
        </w:rPr>
        <w:t xml:space="preserve">Fig. 19–4</w:t>
      </w:r>
      <w:r>
        <w:t xml:space="preserve"> </w:t>
      </w:r>
      <w:r>
        <w:t xml:space="preserve">—</w:t>
      </w:r>
      <w:r>
        <w:t xml:space="preserve"> </w:t>
      </w:r>
      <w:r>
        <w:rPr>
          <w:i/>
          <w:iCs/>
        </w:rPr>
        <w:t xml:space="preserve">Microvasculature of the renal cortex</w:t>
      </w:r>
      <w:r>
        <w:t xml:space="preserve">.</w:t>
      </w:r>
    </w:p>
    <w:p>
      <w:pPr>
        <w:pStyle w:val="Compact"/>
        <w:numPr>
          <w:ilvl w:val="0"/>
          <w:numId w:val="1123"/>
        </w:numPr>
      </w:pPr>
      <w:r>
        <w:rPr>
          <w:b/>
          <w:bCs/>
        </w:rPr>
        <w:t xml:space="preserve">Fig. 19–8</w:t>
      </w:r>
      <w:r>
        <w:t xml:space="preserve"> </w:t>
      </w:r>
      <w:r>
        <w:t xml:space="preserve">—</w:t>
      </w:r>
      <w:r>
        <w:t xml:space="preserve"> </w:t>
      </w:r>
      <w:r>
        <w:rPr>
          <w:i/>
          <w:iCs/>
        </w:rPr>
        <w:t xml:space="preserve">Renal cortex: proximal and distal convoluted tubules</w:t>
      </w:r>
      <w:r>
        <w:t xml:space="preserve">.</w:t>
      </w:r>
    </w:p>
    <w:p>
      <w:pPr>
        <w:pStyle w:val="Compact"/>
        <w:numPr>
          <w:ilvl w:val="0"/>
          <w:numId w:val="1123"/>
        </w:numPr>
      </w:pPr>
      <w:r>
        <w:rPr>
          <w:b/>
          <w:bCs/>
        </w:rPr>
        <w:t xml:space="preserve">Fig. 19–11</w:t>
      </w:r>
      <w:r>
        <w:t xml:space="preserve"> </w:t>
      </w:r>
      <w:r>
        <w:t xml:space="preserve">—</w:t>
      </w:r>
      <w:r>
        <w:t xml:space="preserve"> </w:t>
      </w:r>
      <w:r>
        <w:rPr>
          <w:i/>
          <w:iCs/>
        </w:rPr>
        <w:t xml:space="preserve">Renal medulla: nephron loops and collecting ducts</w:t>
      </w:r>
      <w:r>
        <w:t xml:space="preserve">.</w:t>
      </w:r>
    </w:p>
    <w:p>
      <w:pPr>
        <w:pStyle w:val="Compact"/>
        <w:numPr>
          <w:ilvl w:val="0"/>
          <w:numId w:val="1123"/>
        </w:numPr>
      </w:pPr>
      <w:r>
        <w:rPr>
          <w:b/>
          <w:bCs/>
        </w:rPr>
        <w:t xml:space="preserve">Fig. 19–15</w:t>
      </w:r>
      <w:r>
        <w:t xml:space="preserve"> </w:t>
      </w:r>
      <w:r>
        <w:t xml:space="preserve">—</w:t>
      </w:r>
      <w:r>
        <w:t xml:space="preserve"> </w:t>
      </w:r>
      <w:r>
        <w:rPr>
          <w:i/>
          <w:iCs/>
        </w:rPr>
        <w:t xml:space="preserve">Renal papilla, collecting ducts, and minor calyx</w:t>
      </w:r>
      <w:r>
        <w:t xml:space="preserve">.</w:t>
      </w:r>
    </w:p>
    <w:p>
      <w:pPr>
        <w:pStyle w:val="Compact"/>
        <w:numPr>
          <w:ilvl w:val="0"/>
          <w:numId w:val="1123"/>
        </w:numPr>
      </w:pPr>
      <w:r>
        <w:rPr>
          <w:b/>
          <w:bCs/>
        </w:rPr>
        <w:t xml:space="preserve">Fig. 19–18</w:t>
      </w:r>
      <w:r>
        <w:t xml:space="preserve"> </w:t>
      </w:r>
      <w:r>
        <w:t xml:space="preserve">—</w:t>
      </w:r>
      <w:r>
        <w:t xml:space="preserve"> </w:t>
      </w:r>
      <w:r>
        <w:rPr>
          <w:i/>
          <w:iCs/>
        </w:rPr>
        <w:t xml:space="preserve">Urethra</w:t>
      </w:r>
      <w:r>
        <w:t xml:space="preserve">.</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0"/>
        </w:numPr>
      </w:pPr>
      <w:r>
        <w:rPr>
          <w:b/>
          <w:bCs/>
        </w:rPr>
        <w:t xml:space="preserve">Fig. 20–1</w:t>
      </w:r>
      <w:r>
        <w:t xml:space="preserve"> </w:t>
      </w:r>
      <w:r>
        <w:t xml:space="preserve">—</w:t>
      </w:r>
      <w:r>
        <w:t xml:space="preserve"> </w:t>
      </w:r>
      <w:r>
        <w:rPr>
          <w:i/>
          <w:iCs/>
        </w:rPr>
        <w:t xml:space="preserve">Locations of the major endocrine glands and the hormones they release</w:t>
      </w:r>
      <w:r>
        <w:t xml:space="preserve">.</w:t>
      </w:r>
    </w:p>
    <w:p>
      <w:pPr>
        <w:pStyle w:val="Compact"/>
        <w:numPr>
          <w:ilvl w:val="0"/>
          <w:numId w:val="1130"/>
        </w:numPr>
      </w:pPr>
      <w:r>
        <w:rPr>
          <w:b/>
          <w:bCs/>
        </w:rPr>
        <w:t xml:space="preserve">Fig. 20–6</w:t>
      </w:r>
      <w:r>
        <w:t xml:space="preserve"> </w:t>
      </w:r>
      <w:r>
        <w:t xml:space="preserve">—</w:t>
      </w:r>
      <w:r>
        <w:t xml:space="preserve"> </w:t>
      </w:r>
      <w:r>
        <w:rPr>
          <w:i/>
          <w:iCs/>
        </w:rPr>
        <w:t xml:space="preserve">Pars distalis: Acidophils, basophils, and chromophobes</w:t>
      </w:r>
      <w:r>
        <w:t xml:space="preserve">.</w:t>
      </w:r>
    </w:p>
    <w:p>
      <w:pPr>
        <w:pStyle w:val="Compact"/>
        <w:numPr>
          <w:ilvl w:val="0"/>
          <w:numId w:val="1130"/>
        </w:numPr>
      </w:pPr>
      <w:r>
        <w:rPr>
          <w:b/>
          <w:bCs/>
        </w:rPr>
        <w:t xml:space="preserve">Fig. 20–10</w:t>
      </w:r>
      <w:r>
        <w:t xml:space="preserve"> </w:t>
      </w:r>
      <w:r>
        <w:t xml:space="preserve">—</w:t>
      </w:r>
      <w:r>
        <w:t xml:space="preserve"> </w:t>
      </w:r>
      <w:r>
        <w:rPr>
          <w:i/>
          <w:iCs/>
        </w:rPr>
        <w:t xml:space="preserve">Negative feedback loops affecting anterior pituitary secretion</w:t>
      </w:r>
      <w:r>
        <w:t xml:space="preserve">.</w:t>
      </w:r>
    </w:p>
    <w:p>
      <w:pPr>
        <w:pStyle w:val="Compact"/>
        <w:numPr>
          <w:ilvl w:val="0"/>
          <w:numId w:val="1130"/>
        </w:numPr>
      </w:pPr>
      <w:r>
        <w:rPr>
          <w:b/>
          <w:bCs/>
        </w:rPr>
        <w:t xml:space="preserve">Fig. 20–15</w:t>
      </w:r>
      <w:r>
        <w:t xml:space="preserve"> </w:t>
      </w:r>
      <w:r>
        <w:t xml:space="preserve">—</w:t>
      </w:r>
      <w:r>
        <w:t xml:space="preserve"> </w:t>
      </w:r>
      <w:r>
        <w:rPr>
          <w:i/>
          <w:iCs/>
        </w:rPr>
        <w:t xml:space="preserve">Adrenal cortex</w:t>
      </w:r>
      <w:r>
        <w:t xml:space="preserve">.</w:t>
      </w:r>
    </w:p>
    <w:p>
      <w:pPr>
        <w:pStyle w:val="Compact"/>
        <w:numPr>
          <w:ilvl w:val="0"/>
          <w:numId w:val="1130"/>
        </w:numPr>
      </w:pPr>
      <w:r>
        <w:rPr>
          <w:b/>
          <w:bCs/>
        </w:rPr>
        <w:t xml:space="preserve">Fig. 20–19</w:t>
      </w:r>
      <w:r>
        <w:t xml:space="preserve"> </w:t>
      </w:r>
      <w:r>
        <w:t xml:space="preserve">—</w:t>
      </w:r>
      <w:r>
        <w:t xml:space="preserve"> </w:t>
      </w:r>
      <w:r>
        <w:rPr>
          <w:i/>
          <w:iCs/>
        </w:rPr>
        <w:t xml:space="preserve">Thyroid follicular cells and parafollicular cells</w:t>
      </w:r>
      <w:r>
        <w:t xml:space="preserve">.</w:t>
      </w:r>
    </w:p>
    <w:p>
      <w:pPr>
        <w:pStyle w:val="Compact"/>
        <w:numPr>
          <w:ilvl w:val="0"/>
          <w:numId w:val="1130"/>
        </w:numPr>
      </w:pPr>
      <w:r>
        <w:rPr>
          <w:b/>
          <w:bCs/>
        </w:rPr>
        <w:t xml:space="preserve">Fig. 20–24</w:t>
      </w:r>
      <w:r>
        <w:t xml:space="preserve"> </w:t>
      </w:r>
      <w:r>
        <w:t xml:space="preserve">—</w:t>
      </w:r>
      <w:r>
        <w:t xml:space="preserve"> </w:t>
      </w:r>
      <w:r>
        <w:rPr>
          <w:i/>
          <w:iCs/>
        </w:rPr>
        <w:t xml:space="preserve">Pineal gland</w:t>
      </w:r>
      <w:r>
        <w:t xml:space="preserve">.</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9"/>
        </w:numPr>
      </w:pPr>
      <w:r>
        <w:rPr>
          <w:b/>
          <w:bCs/>
        </w:rPr>
        <w:t xml:space="preserve">Fig. 21–1</w:t>
      </w:r>
      <w:r>
        <w:t xml:space="preserve"> </w:t>
      </w:r>
      <w:r>
        <w:t xml:space="preserve">—</w:t>
      </w:r>
      <w:r>
        <w:t xml:space="preserve"> </w:t>
      </w:r>
      <w:r>
        <w:rPr>
          <w:i/>
          <w:iCs/>
        </w:rPr>
        <w:t xml:space="preserve">The male reproductive system</w:t>
      </w:r>
      <w:r>
        <w:t xml:space="preserve">.</w:t>
      </w:r>
    </w:p>
    <w:p>
      <w:pPr>
        <w:pStyle w:val="Compact"/>
        <w:numPr>
          <w:ilvl w:val="0"/>
          <w:numId w:val="1139"/>
        </w:numPr>
      </w:pPr>
      <w:r>
        <w:rPr>
          <w:b/>
          <w:bCs/>
        </w:rPr>
        <w:t xml:space="preserve">Fig. 21–5</w:t>
      </w:r>
      <w:r>
        <w:t xml:space="preserve"> </w:t>
      </w:r>
      <w:r>
        <w:t xml:space="preserve">—</w:t>
      </w:r>
      <w:r>
        <w:t xml:space="preserve"> </w:t>
      </w:r>
      <w:r>
        <w:rPr>
          <w:i/>
          <w:iCs/>
        </w:rPr>
        <w:t xml:space="preserve">Spermatogenesis and spermiogenesis</w:t>
      </w:r>
      <w:r>
        <w:t xml:space="preserve">.</w:t>
      </w:r>
    </w:p>
    <w:p>
      <w:pPr>
        <w:pStyle w:val="Compact"/>
        <w:numPr>
          <w:ilvl w:val="0"/>
          <w:numId w:val="1139"/>
        </w:numPr>
      </w:pPr>
      <w:r>
        <w:rPr>
          <w:b/>
          <w:bCs/>
        </w:rPr>
        <w:t xml:space="preserve">Fig. 21–8</w:t>
      </w:r>
      <w:r>
        <w:t xml:space="preserve"> </w:t>
      </w:r>
      <w:r>
        <w:t xml:space="preserve">—</w:t>
      </w:r>
      <w:r>
        <w:t xml:space="preserve"> </w:t>
      </w:r>
      <w:r>
        <w:rPr>
          <w:i/>
          <w:iCs/>
        </w:rPr>
        <w:t xml:space="preserve">Differentiating spermatid</w:t>
      </w:r>
      <w:r>
        <w:t xml:space="preserve">.</w:t>
      </w:r>
    </w:p>
    <w:p>
      <w:pPr>
        <w:pStyle w:val="Compact"/>
        <w:numPr>
          <w:ilvl w:val="0"/>
          <w:numId w:val="1139"/>
        </w:numPr>
      </w:pPr>
      <w:r>
        <w:rPr>
          <w:b/>
          <w:bCs/>
        </w:rPr>
        <w:t xml:space="preserve">Fig. 21–12</w:t>
      </w:r>
      <w:r>
        <w:t xml:space="preserve"> </w:t>
      </w:r>
      <w:r>
        <w:t xml:space="preserve">—</w:t>
      </w:r>
      <w:r>
        <w:t xml:space="preserve"> </w:t>
      </w:r>
      <w:r>
        <w:rPr>
          <w:i/>
          <w:iCs/>
        </w:rPr>
        <w:t xml:space="preserve">Ductus deferens</w:t>
      </w:r>
      <w:r>
        <w:t xml:space="preserve">.</w:t>
      </w:r>
    </w:p>
    <w:p>
      <w:pPr>
        <w:pStyle w:val="Compact"/>
        <w:numPr>
          <w:ilvl w:val="0"/>
          <w:numId w:val="1139"/>
        </w:numPr>
      </w:pPr>
      <w:r>
        <w:rPr>
          <w:b/>
          <w:bCs/>
        </w:rPr>
        <w:t xml:space="preserve">Fig. 21–15</w:t>
      </w:r>
      <w:r>
        <w:t xml:space="preserve"> </w:t>
      </w:r>
      <w:r>
        <w:t xml:space="preserve">—</w:t>
      </w:r>
      <w:r>
        <w:t xml:space="preserve"> </w:t>
      </w:r>
      <w:r>
        <w:rPr>
          <w:i/>
          <w:iCs/>
        </w:rPr>
        <w:t xml:space="preserve">Organization of the prostate gland</w:t>
      </w:r>
      <w:r>
        <w:t xml:space="preserve">.</w:t>
      </w:r>
    </w:p>
    <w:p>
      <w:pPr>
        <w:pStyle w:val="Compact"/>
        <w:numPr>
          <w:ilvl w:val="0"/>
          <w:numId w:val="1139"/>
        </w:numPr>
      </w:pPr>
      <w:r>
        <w:rPr>
          <w:b/>
          <w:bCs/>
        </w:rPr>
        <w:t xml:space="preserve">Fig. 21–19</w:t>
      </w:r>
      <w:r>
        <w:t xml:space="preserve"> </w:t>
      </w:r>
      <w:r>
        <w:t xml:space="preserve">—</w:t>
      </w:r>
      <w:r>
        <w:t xml:space="preserve"> </w:t>
      </w:r>
      <w:r>
        <w:rPr>
          <w:i/>
          <w:iCs/>
        </w:rPr>
        <w:t xml:space="preserve">Penile urethra and erectile tissue</w:t>
      </w:r>
      <w:r>
        <w:t xml:space="preserve">.</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49"/>
        </w:numPr>
      </w:pPr>
      <w:r>
        <w:rPr>
          <w:b/>
          <w:bCs/>
        </w:rPr>
        <w:t xml:space="preserve">Fig. 22–1</w:t>
      </w:r>
      <w:r>
        <w:t xml:space="preserve"> </w:t>
      </w:r>
      <w:r>
        <w:t xml:space="preserve">—</w:t>
      </w:r>
      <w:r>
        <w:t xml:space="preserve"> </w:t>
      </w:r>
      <w:r>
        <w:rPr>
          <w:i/>
          <w:iCs/>
        </w:rPr>
        <w:t xml:space="preserve">The female reproductive system and overview of ovary</w:t>
      </w:r>
      <w:r>
        <w:t xml:space="preserve">.</w:t>
      </w:r>
    </w:p>
    <w:p>
      <w:pPr>
        <w:pStyle w:val="Compact"/>
        <w:numPr>
          <w:ilvl w:val="0"/>
          <w:numId w:val="1149"/>
        </w:numPr>
      </w:pPr>
      <w:r>
        <w:rPr>
          <w:b/>
          <w:bCs/>
        </w:rPr>
        <w:t xml:space="preserve">Fig. 22–6</w:t>
      </w:r>
      <w:r>
        <w:t xml:space="preserve"> </w:t>
      </w:r>
      <w:r>
        <w:t xml:space="preserve">—</w:t>
      </w:r>
      <w:r>
        <w:t xml:space="preserve"> </w:t>
      </w:r>
      <w:r>
        <w:rPr>
          <w:i/>
          <w:iCs/>
        </w:rPr>
        <w:t xml:space="preserve">Ultrastructure of primary follicle and zona pellucida</w:t>
      </w:r>
      <w:r>
        <w:t xml:space="preserve">.</w:t>
      </w:r>
    </w:p>
    <w:p>
      <w:pPr>
        <w:pStyle w:val="Compact"/>
        <w:numPr>
          <w:ilvl w:val="0"/>
          <w:numId w:val="1149"/>
        </w:numPr>
      </w:pPr>
      <w:r>
        <w:rPr>
          <w:b/>
          <w:bCs/>
        </w:rPr>
        <w:t xml:space="preserve">Fig. 22–12</w:t>
      </w:r>
      <w:r>
        <w:t xml:space="preserve"> </w:t>
      </w:r>
      <w:r>
        <w:t xml:space="preserve">—</w:t>
      </w:r>
      <w:r>
        <w:t xml:space="preserve"> </w:t>
      </w:r>
      <w:r>
        <w:rPr>
          <w:i/>
          <w:iCs/>
        </w:rPr>
        <w:t xml:space="preserve">Corpus luteum</w:t>
      </w:r>
      <w:r>
        <w:t xml:space="preserve">.</w:t>
      </w:r>
    </w:p>
    <w:p>
      <w:pPr>
        <w:pStyle w:val="Compact"/>
        <w:numPr>
          <w:ilvl w:val="0"/>
          <w:numId w:val="1149"/>
        </w:numPr>
      </w:pPr>
      <w:r>
        <w:rPr>
          <w:b/>
          <w:bCs/>
        </w:rPr>
        <w:t xml:space="preserve">Fig. 22–17</w:t>
      </w:r>
      <w:r>
        <w:t xml:space="preserve"> </w:t>
      </w:r>
      <w:r>
        <w:t xml:space="preserve">—</w:t>
      </w:r>
      <w:r>
        <w:t xml:space="preserve"> </w:t>
      </w:r>
      <w:r>
        <w:rPr>
          <w:i/>
          <w:iCs/>
        </w:rPr>
        <w:t xml:space="preserve">Correlation of ovarian and menstrual cycles with levels of their controlling hormones</w:t>
      </w:r>
      <w:r>
        <w:t xml:space="preserve">.</w:t>
      </w:r>
    </w:p>
    <w:p>
      <w:pPr>
        <w:pStyle w:val="Compact"/>
        <w:numPr>
          <w:ilvl w:val="0"/>
          <w:numId w:val="1149"/>
        </w:numPr>
      </w:pPr>
      <w:r>
        <w:rPr>
          <w:b/>
          <w:bCs/>
        </w:rPr>
        <w:t xml:space="preserve">Fig. 22–23</w:t>
      </w:r>
      <w:r>
        <w:t xml:space="preserve"> </w:t>
      </w:r>
      <w:r>
        <w:t xml:space="preserve">—</w:t>
      </w:r>
      <w:r>
        <w:t xml:space="preserve"> </w:t>
      </w:r>
      <w:r>
        <w:rPr>
          <w:i/>
          <w:iCs/>
        </w:rPr>
        <w:t xml:space="preserve">Cervix</w:t>
      </w:r>
      <w:r>
        <w:t xml:space="preserve">.</w:t>
      </w:r>
    </w:p>
    <w:p>
      <w:pPr>
        <w:pStyle w:val="Compact"/>
        <w:numPr>
          <w:ilvl w:val="0"/>
          <w:numId w:val="1149"/>
        </w:numPr>
      </w:pPr>
      <w:r>
        <w:rPr>
          <w:b/>
          <w:bCs/>
        </w:rPr>
        <w:t xml:space="preserve">Fig. 22–28</w:t>
      </w:r>
      <w:r>
        <w:t xml:space="preserve"> </w:t>
      </w:r>
      <w:r>
        <w:t xml:space="preserve">—</w:t>
      </w:r>
      <w:r>
        <w:t xml:space="preserve"> </w:t>
      </w:r>
      <w:r>
        <w:rPr>
          <w:i/>
          <w:iCs/>
        </w:rPr>
        <w:t xml:space="preserve">Secretion in the mammary gland</w:t>
      </w:r>
      <w:r>
        <w:t xml:space="preserve">.</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56"/>
        </w:numPr>
      </w:pPr>
      <w:r>
        <w:rPr>
          <w:b/>
          <w:bCs/>
        </w:rPr>
        <w:t xml:space="preserve">Fig. 23–1</w:t>
      </w:r>
      <w:r>
        <w:t xml:space="preserve"> </w:t>
      </w:r>
      <w:r>
        <w:t xml:space="preserve">—</w:t>
      </w:r>
      <w:r>
        <w:t xml:space="preserve"> </w:t>
      </w:r>
      <w:r>
        <w:rPr>
          <w:i/>
          <w:iCs/>
        </w:rPr>
        <w:t xml:space="preserve">Internal anatomy of the eye</w:t>
      </w:r>
      <w:r>
        <w:t xml:space="preserve">.</w:t>
      </w:r>
    </w:p>
    <w:p>
      <w:pPr>
        <w:pStyle w:val="Compact"/>
        <w:numPr>
          <w:ilvl w:val="0"/>
          <w:numId w:val="1156"/>
        </w:numPr>
      </w:pPr>
      <w:r>
        <w:rPr>
          <w:b/>
          <w:bCs/>
        </w:rPr>
        <w:t xml:space="preserve">Fig. 23–7</w:t>
      </w:r>
      <w:r>
        <w:t xml:space="preserve"> </w:t>
      </w:r>
      <w:r>
        <w:t xml:space="preserve">—</w:t>
      </w:r>
      <w:r>
        <w:t xml:space="preserve"> </w:t>
      </w:r>
      <w:r>
        <w:rPr>
          <w:i/>
          <w:iCs/>
        </w:rPr>
        <w:t xml:space="preserve">Epithelium of ciliary processes</w:t>
      </w:r>
      <w:r>
        <w:t xml:space="preserve">.</w:t>
      </w:r>
    </w:p>
    <w:p>
      <w:pPr>
        <w:pStyle w:val="Compact"/>
        <w:numPr>
          <w:ilvl w:val="0"/>
          <w:numId w:val="1156"/>
        </w:numPr>
      </w:pPr>
      <w:r>
        <w:rPr>
          <w:b/>
          <w:bCs/>
        </w:rPr>
        <w:t xml:space="preserve">Fig. 23–14</w:t>
      </w:r>
      <w:r>
        <w:t xml:space="preserve"> </w:t>
      </w:r>
      <w:r>
        <w:t xml:space="preserve">—</w:t>
      </w:r>
      <w:r>
        <w:t xml:space="preserve"> </w:t>
      </w:r>
      <w:r>
        <w:rPr>
          <w:i/>
          <w:iCs/>
        </w:rPr>
        <w:t xml:space="preserve">General organization and specialized areas of the retina</w:t>
      </w:r>
      <w:r>
        <w:t xml:space="preserve">.</w:t>
      </w:r>
    </w:p>
    <w:p>
      <w:pPr>
        <w:pStyle w:val="Compact"/>
        <w:numPr>
          <w:ilvl w:val="0"/>
          <w:numId w:val="1156"/>
        </w:numPr>
      </w:pPr>
      <w:r>
        <w:rPr>
          <w:b/>
          <w:bCs/>
        </w:rPr>
        <w:t xml:space="preserve">Fig. 23–20</w:t>
      </w:r>
      <w:r>
        <w:t xml:space="preserve"> </w:t>
      </w:r>
      <w:r>
        <w:t xml:space="preserve">—</w:t>
      </w:r>
      <w:r>
        <w:t xml:space="preserve"> </w:t>
      </w:r>
      <w:r>
        <w:rPr>
          <w:i/>
          <w:iCs/>
        </w:rPr>
        <w:t xml:space="preserve">Lacrimal gland</w:t>
      </w:r>
      <w:r>
        <w:t xml:space="preserve">.</w:t>
      </w:r>
    </w:p>
    <w:p>
      <w:pPr>
        <w:pStyle w:val="Compact"/>
        <w:numPr>
          <w:ilvl w:val="0"/>
          <w:numId w:val="1156"/>
        </w:numPr>
      </w:pPr>
      <w:r>
        <w:rPr>
          <w:b/>
          <w:bCs/>
        </w:rPr>
        <w:t xml:space="preserve">Fig. 23–27</w:t>
      </w:r>
      <w:r>
        <w:t xml:space="preserve"> </w:t>
      </w:r>
      <w:r>
        <w:t xml:space="preserve">—</w:t>
      </w:r>
      <w:r>
        <w:t xml:space="preserve"> </w:t>
      </w:r>
      <w:r>
        <w:rPr>
          <w:i/>
          <w:iCs/>
        </w:rPr>
        <w:t xml:space="preserve">Mechanotransduction in hair cells</w:t>
      </w:r>
      <w:r>
        <w:t xml:space="preserve">.</w:t>
      </w:r>
    </w:p>
    <w:p>
      <w:pPr>
        <w:pStyle w:val="Compact"/>
        <w:numPr>
          <w:ilvl w:val="0"/>
          <w:numId w:val="1156"/>
        </w:numPr>
      </w:pPr>
      <w:r>
        <w:rPr>
          <w:b/>
          <w:bCs/>
        </w:rPr>
        <w:t xml:space="preserve">Fig. 23–33</w:t>
      </w:r>
      <w:r>
        <w:t xml:space="preserve"> </w:t>
      </w:r>
      <w:r>
        <w:t xml:space="preserve">—</w:t>
      </w:r>
      <w:r>
        <w:t xml:space="preserve"> </w:t>
      </w:r>
      <w:r>
        <w:rPr>
          <w:i/>
          <w:iCs/>
        </w:rPr>
        <w:t xml:space="preserve">Interpretation of sound waves in the cochlea</w:t>
      </w:r>
      <w:r>
        <w:t xml:space="preserve">.</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Basement membrane = lamina lucida, densa, reticularis.</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apocrine.</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eight-common-errors"/>
    <w:p>
      <w:pPr>
        <w:pStyle w:val="Heading3"/>
      </w:pPr>
      <w:r>
        <w:t xml:space="preserve">Eight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examinable, because every plate caption in the atlas names its stain. The table below follows its list and adds the chemistry behind each stain;</w:t>
      </w:r>
      <w:r>
        <w:t xml:space="preserve"> </w:t>
      </w:r>
      <w:r>
        <w:rPr>
          <w:b/>
          <w:bCs/>
        </w:rPr>
        <w:t xml:space="preserve">Appendix A</w:t>
      </w:r>
      <w:r>
        <w:t xml:space="preserve"> </w:t>
      </w:r>
      <w:r>
        <w:t xml:space="preserve">in Part VI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is electron-microscope resolution.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cardiac diads. D is the middle of the sarcomere. A is within the B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This ratio is a standard hematology figure; the chapter’s text does not state one, so treat it as supplementary.</w:t>
      </w:r>
      <w:r>
        <w:t xml:space="preserve"> </w:t>
      </w:r>
      <w:r>
        <w:rPr>
          <w:b/>
          <w:bCs/>
        </w:rPr>
        <w:t xml:space="preserve">Trap:</w:t>
      </w:r>
      <w:r>
        <w:t xml:space="preserve"> </w:t>
      </w:r>
      <w:r>
        <w:t xml:space="preserve">B, D, and A are not the normal adult ratio.</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D and A have few. C has none.</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C and D are lined by other cells. B is a serous membrane.</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can reproduce the tables usually answer the recall questions far more quickly.</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2026-10-20T16:15:02Z</dcterms:created>
  <dcterms:modified xsi:type="dcterms:W3CDTF">2026-10-20T16:15:02Z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