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۶۰)؛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۳۵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۳۴):</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۲۹)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۳۳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۳۴)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۳۴)</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۳۳)</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۳۴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Hydroxocobalamin ۱ mg IM سه بار در هفته برای ۲ هفته</w:t>
            </w:r>
            <w:r>
              <w:rPr>
                <w:rFonts w:ascii="Vazirmatn" w:hAnsi="Vazirmatn"/>
                <w:sz w:val="18"/>
              </w:rPr>
              <w:t xml:space="preserve">؛ بعد نگهداری (در علت غیرغذایی مانند سوء جذب) </w:t>
            </w:r>
            <w:r>
              <w:rPr>
                <w:rFonts w:ascii="Vazirmatn" w:hAnsi="Vazirmatn"/>
                <w:b/>
                <w:sz w:val="18"/>
              </w:rPr>
              <w:t>هر ۳ ماه، تمام عمر</w:t>
            </w:r>
          </w:p>
        </w:tc>
        <w:tc>
          <w:tcPr>
            <w:tcW w:type="dxa" w:w="3437"/>
          </w:tcPr>
          <w:p>
            <w:pPr>
              <w:bidi w:val="1"/>
            </w:pPr>
            <w:r>
              <w:rPr>
                <w:sz w:val="18"/>
              </w:rPr>
            </w:r>
            <w:r>
              <w:rPr>
                <w:rFonts w:ascii="Vazirmatn" w:hAnsi="Vazirmatn"/>
                <w:sz w:val="18"/>
              </w:rPr>
              <w:t>NICE CKS / BNF — از خلاصه‌های ثانوی (NG239 خودش جدول دوز IM ندارد)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بیشتر رخ ندهد</w:t>
            </w:r>
            <w:r>
              <w:rPr>
                <w:rFonts w:ascii="Vazirmatn" w:hAnsi="Vazirmatn"/>
                <w:sz w:val="18"/>
              </w:rPr>
              <w:t xml:space="preserve">؛ بعد </w:t>
            </w:r>
            <w:r>
              <w:rPr>
                <w:rFonts w:ascii="Vazirmatn" w:hAnsi="Vazirmatn"/>
                <w:b/>
                <w:sz w:val="18"/>
              </w:rPr>
              <w:t>هر ۲ ماه، تمام عمر</w:t>
            </w:r>
          </w:p>
        </w:tc>
        <w:tc>
          <w:tcPr>
            <w:tcW w:type="dxa" w:w="3437"/>
          </w:tcPr>
          <w:p>
            <w:pPr>
              <w:bidi w:val="1"/>
            </w:pPr>
            <w:r>
              <w:rPr>
                <w:sz w:val="18"/>
              </w:rPr>
            </w:r>
            <w:r>
              <w:rPr>
                <w:rFonts w:ascii="Vazirmatn" w:hAnsi="Vazirmatn"/>
                <w:sz w:val="18"/>
              </w:rPr>
              <w:t>NICE CKS / BNF — از خلاصه‌های ثانوی</w:t>
            </w:r>
          </w:p>
        </w:tc>
      </w:tr>
    </w:tbl>
    <w:p>
      <w:pPr>
        <w:ind w:right="283" w:left="283"/>
        <w:bidi w:val="1"/>
      </w:pPr>
      <w:r>
        <w:rPr>
          <w:rFonts w:ascii="Vazirmatn" w:hAnsi="Vazirmatn"/>
          <w:color w:val="0F2744"/>
        </w:rPr>
        <w:t>⚠️ متن اصلی NG239 بررسی شد: انتخاب راه، حداقل دوز فمی و زمان پیگیری از خود رهنمود است. NG239 برنامهٔ دوز IM (تعداد تزریق در هفته و فاصلهٔ نگهداری) را ذکر نمی‌کند؛ این برنامه از NICE CKS/BNF (خلاصه‌های ثانوی) آمده و در دفتر بدهی PARTIAL باقی می‌ماند.</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۳۴).</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۳۴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۳۴</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۳۳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۳۳)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۲۹،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۳۴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w:t>
      </w:r>
      <w:r>
        <w:rPr>
          <w:rFonts w:ascii="Vazirmatn" w:hAnsi="Vazirmatn"/>
          <w:color w:val="0F2744"/>
        </w:rPr>
        <w:t xml:space="preserve"> KDIGO در حال بازنگری رهنمود AKI است؛ تا تاریخ این فصل، تعریف 2012 معیار منتشرشدهٔ جاری است. در Global Audit دوباره بررسی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(بازنگری 2025) — اصول</w:t>
      </w:r>
    </w:p>
    <w:p>
      <w:pPr>
        <w:ind w:right="340"/>
        <w:bidi w:val="1"/>
      </w:pPr>
      <w:r>
        <w:rPr>
          <w:color w:val="136F73"/>
        </w:rPr>
        <w:t xml:space="preserve">● </w:t>
      </w:r>
      <w:r>
        <w:rPr>
          <w:rFonts w:ascii="Vazirmatn" w:hAnsi="Vazirmatn"/>
        </w:rPr>
        <w:t xml:space="preserve">عوامل خطر: </w:t>
      </w:r>
      <w:r>
        <w:rPr>
          <w:rFonts w:ascii="Vazirmatn" w:hAnsi="Vazirmatn"/>
          <w:b/>
        </w:rPr>
        <w:t>عمر، جنس، سابقهٔ سگرت</w:t>
      </w:r>
      <w:r>
        <w:rPr>
          <w:rFonts w:ascii="Vazirmatn" w:hAnsi="Vazirmatn"/>
        </w:rPr>
        <w:t xml:space="preserve"> (پاکت-سال)، </w:t>
      </w:r>
      <w:r>
        <w:rPr>
          <w:rFonts w:ascii="Vazirmatn" w:hAnsi="Vazirmatn"/>
          <w:b/>
        </w:rPr>
        <w:t>شدت</w:t>
      </w:r>
      <w:r>
        <w:rPr>
          <w:rFonts w:ascii="Vazirmatn" w:hAnsi="Vazirmatn"/>
        </w:rPr>
        <w:t xml:space="preserve"> Haematuria (RBC/HPF)، </w:t>
      </w:r>
      <w:r>
        <w:rPr>
          <w:rFonts w:ascii="Vazirmatn" w:hAnsi="Vazirmatn"/>
          <w:b/>
        </w:rPr>
        <w:t>دوام</w:t>
      </w:r>
      <w:r>
        <w:rPr>
          <w:rFonts w:ascii="Vazirmatn" w:hAnsi="Vazirmatn"/>
        </w:rPr>
        <w:t xml:space="preserve"> آن در تکرار، </w:t>
      </w:r>
      <w:r>
        <w:rPr>
          <w:rFonts w:ascii="Vazirmatn" w:hAnsi="Vazirmatn"/>
          <w:b/>
        </w:rPr>
        <w:t>سابقهٔ Haematuria ظاهری (Gross)</w:t>
      </w:r>
      <w:r>
        <w:rPr>
          <w:rFonts w:ascii="Vazirmatn" w:hAnsi="Vazirmatn"/>
        </w:rPr>
        <w:t>، و عوامل خطر دیگر Urothelial cancer (مثلاً تماس شغلی با کیمیاوی‌ها، Cyclophosphamide قبلی).</w:t>
      </w:r>
    </w:p>
    <w:p>
      <w:pPr>
        <w:ind w:right="340"/>
        <w:bidi w:val="1"/>
      </w:pPr>
      <w:r>
        <w:rPr>
          <w:color w:val="136F73"/>
        </w:rPr>
        <w:t xml:space="preserve">● </w:t>
      </w:r>
      <w:r>
        <w:rPr>
          <w:rFonts w:ascii="Vazirmatn" w:hAnsi="Vazirmatn"/>
        </w:rPr>
        <w:t xml:space="preserve">جدول 2020 شدت را چنین دسته‌بندی می‌کرد: </w:t>
      </w:r>
      <w:r>
        <w:rPr>
          <w:rFonts w:ascii="Vazirmatn" w:hAnsi="Vazirmatn"/>
          <w:b/>
        </w:rPr>
        <w:t>۳–۱۰</w:t>
      </w:r>
      <w:r>
        <w:rPr>
          <w:rFonts w:ascii="Vazirmatn" w:hAnsi="Vazirmatn"/>
        </w:rPr>
        <w:t xml:space="preserve"> RBC/HPF (خطر کم اگر عوامل دیگر هم کم باشند)، </w:t>
      </w:r>
      <w:r>
        <w:rPr>
          <w:rFonts w:ascii="Vazirmatn" w:hAnsi="Vazirmatn"/>
          <w:b/>
        </w:rPr>
        <w:t>۱۱–۲۵</w:t>
      </w:r>
      <w:r>
        <w:rPr>
          <w:rFonts w:ascii="Vazirmatn" w:hAnsi="Vazirmatn"/>
        </w:rPr>
        <w:t xml:space="preserve">، و </w:t>
      </w:r>
      <w:r>
        <w:rPr>
          <w:rFonts w:ascii="Vazirmatn" w:hAnsi="Vazirmatn"/>
          <w:b/>
        </w:rPr>
        <w:t>بیشتر از ۲۵</w:t>
      </w:r>
      <w:r>
        <w:rPr>
          <w:rFonts w:ascii="Vazirmatn" w:hAnsi="Vazirmatn"/>
        </w:rPr>
        <w:t xml:space="preserve"> RBC/HPF (خطر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 (AUA 2025)</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خطر 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پیشنهاد شود؛ 🔄 در 2025 مارکرهای تومور ادرار یا Cytology می‌توانند در تصمیم Cystoscopy (با مشورهٔ مشترک) کمک کنند</w:t>
            </w:r>
          </w:p>
        </w:tc>
      </w:tr>
      <w:tr>
        <w:tc>
          <w:tcPr>
            <w:tcW w:type="dxa" w:w="5156"/>
          </w:tcPr>
          <w:p>
            <w:pPr>
              <w:bidi w:val="1"/>
            </w:pPr>
            <w:r>
              <w:rPr>
                <w:sz w:val="18"/>
              </w:rPr>
            </w:r>
            <w:r>
              <w:rPr>
                <w:rFonts w:ascii="Vazirmatn" w:hAnsi="Vazirmatn"/>
                <w:b/>
                <w:sz w:val="18"/>
              </w:rPr>
              <w:t>خطر 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(مثلاً CT Urography در صورت نبود مانع) — </w:t>
            </w:r>
            <w:r>
              <w:rPr>
                <w:rFonts w:ascii="Vazirmatn" w:hAnsi="Vazirmatn"/>
                <w:b/>
                <w:sz w:val="18"/>
              </w:rPr>
              <w:t>بدون توجه به مصرف ضد تخثر</w:t>
            </w:r>
          </w:p>
        </w:tc>
      </w:tr>
    </w:tbl>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و رویکرد بر پایهٔ خطر حفظ شد. پایین‌ترین گروه «ناچیز» نام گرفت و فقط تکرار تست دارد؛ در زنان، عمر به تنهایی دیگر مریض را در گروه خطر بلند قرار نمی‌دهد. </w:t>
      </w:r>
      <w:r>
        <w:rPr>
          <w:rFonts w:ascii="Vazirmatn" w:hAnsi="Vazirmatn"/>
          <w:b/>
          <w:color w:val="0F2744"/>
        </w:rPr>
        <w:t>آستانه‌های دقیق عمر و پاکت-سال در جدول 2025 در این دوره از متن اصلی خوانده نشد</w:t>
      </w:r>
      <w:r>
        <w:rPr>
          <w:rFonts w:ascii="Vazirmatn" w:hAnsi="Vazirmatn"/>
          <w:color w:val="0F2744"/>
        </w:rPr>
        <w:t xml:space="preserve"> — به جدول رسمی AUA مراجعه شود (بدهی SD-15).</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b/>
        </w:rPr>
        <w:t>Updates to Microhematuria: AUA/SUFU Guideline (2025).</w:t>
      </w:r>
      <w:r>
        <w:rPr>
          <w:rFonts w:ascii="Vazirmatn" w:hAnsi="Vazirmatn"/>
        </w:rPr>
        <w:t xml:space="preserve"> J Urol. 2025. (خلاصه از UroToday، مصاحبه با D. Barocas، می 2025)</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۸ و ۱۰:</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