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r>
        <w:t xml:space="preserve"> </w:t>
      </w:r>
      <w:r>
        <w:rPr>
          <w:b/>
          <w:bCs/>
        </w:rPr>
        <w:t xml:space="preserve">Appendix E</w:t>
      </w:r>
      <w:r>
        <w:t xml:space="preserve"> </w:t>
      </w:r>
      <w:r>
        <w:t xml:space="preserve">provides a chapter-by-chapter optional practice route through real university microscopy collections without reproducing their copyrighted images.</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rPr>
          <w:b/>
          <w:bCs/>
        </w:rPr>
        <w:t xml:space="preserve">Microglia</w:t>
      </w:r>
      <w:r>
        <w:t xml:space="preserve"> </w:t>
      </w:r>
      <w:r>
        <w:t xml:space="preserve">are the resident CNS macrophages. Under usual physiological conditions they arise mainly from</w:t>
      </w:r>
      <w:r>
        <w:t xml:space="preserve"> </w:t>
      </w:r>
      <w:r>
        <w:rPr>
          <w:b/>
          <w:bCs/>
        </w:rPr>
        <w:t xml:space="preserve">embryonic yolk-sac myeloid progenitors</w:t>
      </w:r>
      <w:r>
        <w:t xml:space="preserve">, colonize the developing CNS, and largely maintain themselves by local self-renewal; they are not simply replenished from circulating adult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Peripheral axons can regrow along Schwann-cell</w:t>
      </w:r>
      <w:r>
        <w:t xml:space="preserve"> </w:t>
      </w:r>
      <w:r>
        <w:rPr>
          <w:b/>
          <w:bCs/>
        </w:rPr>
        <w:t xml:space="preserve">bands of Büngner</w:t>
      </w:r>
      <w:r>
        <w:t xml:space="preserve"> </w:t>
      </w:r>
      <w:r>
        <w:t xml:space="preserve">under favorable conditions; regeneration after adult CNS axonal injury is markedly restricted.</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CNS glia act as resident macrophages, and where do they originate?</w:t>
      </w:r>
      <w:r>
        <w:t xml:space="preserve"> </w:t>
      </w:r>
      <w:r>
        <w:t xml:space="preserve">— Microglia; mainly from embryonic yolk-sac myeloid precursors rather than the adult circulating monocyte pool.</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can regenerate to a limited extent from</w:t>
      </w:r>
      <w:r>
        <w:t xml:space="preserve"> </w:t>
      </w:r>
      <w:r>
        <w:rPr>
          <w:b/>
          <w:bCs/>
        </w:rPr>
        <w:t xml:space="preserve">satellite cells</w:t>
      </w:r>
      <w:r>
        <w:t xml:space="preserve">; preserved basal-lamina and extracellular-matrix scaffolds favor aligned repair, whereas extensive destruction promotes fibrosis.</w:t>
      </w:r>
      <w:r>
        <w:t xml:space="preserve"> </w:t>
      </w:r>
      <w:r>
        <w:rPr>
          <w:b/>
          <w:bCs/>
        </w:rPr>
        <w:t xml:space="preserve">Adult cardiac muscle has very limited regenerative capacity</w:t>
      </w:r>
      <w:r>
        <w:t xml:space="preserve">; substantial infarcts heal predominantly by replacement fibrosis rather than functional regeneration.</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regeneration depends on</w:t>
      </w:r>
      <w:r>
        <w:t xml:space="preserve"> </w:t>
      </w:r>
      <w:r>
        <w:rPr>
          <w:b/>
          <w:bCs/>
        </w:rPr>
        <w:t xml:space="preserve">satellite cells</w:t>
      </w:r>
      <w:r>
        <w:t xml:space="preserve"> </w:t>
      </w:r>
      <w:r>
        <w:t xml:space="preserve">and is more effective when extracellular-matrix scaffolds are preserved.</w:t>
      </w:r>
    </w:p>
    <w:p>
      <w:pPr>
        <w:pStyle w:val="Compact"/>
        <w:numPr>
          <w:ilvl w:val="0"/>
          <w:numId w:val="1051"/>
        </w:numPr>
      </w:pPr>
      <w:r>
        <w:t xml:space="preserve">Adult cardiomyocyte renewal is very limited; a substantial myocardial infarct heals mainly through scar formation.</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Plasma consists mainly of water and dissolved proteins, electrolytes, nutrients, hormones, and waste. The</w:t>
      </w:r>
      <w:r>
        <w:t xml:space="preserve"> </w:t>
      </w:r>
      <w:r>
        <w:rPr>
          <w:b/>
          <w:bCs/>
        </w:rPr>
        <w:t xml:space="preserve">liver produces most major plasma proteins</w:t>
      </w:r>
      <w:r>
        <w:t xml:space="preserve">, including albumin and fibrinogen, while</w:t>
      </w:r>
      <w:r>
        <w:t xml:space="preserve"> </w:t>
      </w:r>
      <w:r>
        <w:rPr>
          <w:b/>
          <w:bCs/>
        </w:rPr>
        <w:t xml:space="preserve">plasma cells produce immunoglobulins</w:t>
      </w:r>
      <w:r>
        <w:t xml:space="preserve">; some complement and other circulating proteins also have extrahepatic sources.</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commonly 3–5 lobes. Eosinophil: usually bilobed, with orange-red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expressed on</w:t>
      </w:r>
      <w:r>
        <w:t xml:space="preserve"> </w:t>
      </w:r>
      <w:r>
        <w:rPr>
          <w:b/>
          <w:bCs/>
        </w:rPr>
        <w:t xml:space="preserve">most nucleated cells</w:t>
      </w:r>
      <w:r>
        <w:t xml:space="preserve">, presenting intracellularly derived peptide fragments (including viral peptides in infected cells) to</w:t>
      </w:r>
      <w:r>
        <w:t xml:space="preserve"> </w:t>
      </w:r>
      <w:r>
        <w:rPr>
          <w:b/>
          <w:bCs/>
        </w:rPr>
        <w:t xml:space="preserve">CD8⁺ cytotoxic T cells</w:t>
      </w:r>
      <w:r>
        <w:t xml:space="preserve">. Some specialized cells, such as certain placental trophoblast populations, have distinct MHC-I expression patterns.</w:t>
      </w:r>
    </w:p>
    <w:p>
      <w:pPr>
        <w:pStyle w:val="Compact"/>
        <w:numPr>
          <w:ilvl w:val="0"/>
          <w:numId w:val="1065"/>
        </w:numPr>
      </w:pPr>
      <w:r>
        <w:rPr>
          <w:b/>
          <w:bCs/>
        </w:rPr>
        <w:t xml:space="preserve">MHC class II</w:t>
      </w:r>
      <w:r>
        <w:t xml:space="preserve"> </w:t>
      </w:r>
      <w:r>
        <w:t xml:space="preserve">— expressed chiefly by</w:t>
      </w:r>
      <w:r>
        <w:t xml:space="preserve"> </w:t>
      </w:r>
      <w:r>
        <w:rPr>
          <w:b/>
          <w:bCs/>
        </w:rPr>
        <w:t xml:space="preserve">professional antigen-presenting cells</w:t>
      </w:r>
      <w:r>
        <w:t xml:space="preserve"> </w:t>
      </w:r>
      <w:r>
        <w:t xml:space="preserve">(dendritic cells, macrophages, B lymphocytes) and also by specialized cells such as thymic epithelial cells; expression can be induced in other cells during inflammation. It commonly presents peptides from extracellular proteins processed in endosomal compartments, including</w:t>
      </w:r>
      <w:r>
        <w:t xml:space="preserve"> </w:t>
      </w:r>
      <w:r>
        <w:rPr>
          <w:b/>
          <w:bCs/>
        </w:rPr>
        <w:t xml:space="preserve">self as well as foreign antigens</w:t>
      </w:r>
      <w:r>
        <w:t xml:space="preserve">, to</w:t>
      </w:r>
      <w:r>
        <w:t xml:space="preserve"> </w:t>
      </w:r>
      <w:r>
        <w:rPr>
          <w:b/>
          <w:bCs/>
        </w:rPr>
        <w:t xml:space="preserve">CD4⁺ T cells</w:t>
      </w:r>
      <w:r>
        <w:t xml:space="preserve">. The distinction from MHC I is useful but not absolute, because cross-presentation and other processing routes exist.</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Splenic and hepatic macrophages break down senescent erythrocyte hemoglobin. Heme oxygenase releases iron for storage in ferritin or export through ferroportin; circulating iron binds transferrin for reuse in erythropoiesis. The heme ring is catabolized to biliverdin and then bilirubin for hepatic processing and biliary excretion.</w:t>
      </w:r>
      <w:r>
        <w:t xml:space="preserve"> </w:t>
      </w:r>
      <w:r>
        <w:rPr>
          <w:b/>
          <w:bCs/>
        </w:rPr>
        <w:t xml:space="preserve">Hemopexin binds free heme in plasma</w:t>
      </w:r>
      <w:r>
        <w:t xml:space="preserve"> </w:t>
      </w:r>
      <w:r>
        <w:t xml:space="preserve">to limit heme toxicity; it is not the carrier required for every intracellular heme-degradation reaction.</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most nucleated cells</w:t>
      </w:r>
      <w:r>
        <w:t xml:space="preserve"> </w:t>
      </w:r>
      <w:r>
        <w:t xml:space="preserve">and usually presents intracellular peptides to</w:t>
      </w:r>
      <w:r>
        <w:t xml:space="preserve"> </w:t>
      </w:r>
      <w:r>
        <w:rPr>
          <w:b/>
          <w:bCs/>
        </w:rPr>
        <w:t xml:space="preserve">CD8⁺</w:t>
      </w:r>
      <w:r>
        <w:t xml:space="preserve"> </w:t>
      </w:r>
      <w:r>
        <w:t xml:space="preserve">T cells.</w:t>
      </w:r>
    </w:p>
    <w:p>
      <w:pPr>
        <w:pStyle w:val="Compact"/>
        <w:numPr>
          <w:ilvl w:val="0"/>
          <w:numId w:val="1069"/>
        </w:numPr>
      </w:pPr>
      <w:r>
        <w:t xml:space="preserve">MHC II is expressed mainly on</w:t>
      </w:r>
      <w:r>
        <w:t xml:space="preserve"> </w:t>
      </w:r>
      <w:r>
        <w:rPr>
          <w:b/>
          <w:bCs/>
        </w:rPr>
        <w:t xml:space="preserve">dendritic cells, macrophages and B cells</w:t>
      </w:r>
      <w:r>
        <w:t xml:space="preserve">, with additional specialized or inducible expression; it presents processed peptides to</w:t>
      </w:r>
      <w:r>
        <w:t xml:space="preserve"> </w:t>
      </w:r>
      <w:r>
        <w:rPr>
          <w:b/>
          <w:bCs/>
        </w:rPr>
        <w:t xml:space="preserve">CD4⁺</w:t>
      </w:r>
      <w:r>
        <w:t xml:space="preserve"> </w:t>
      </w:r>
      <w:r>
        <w:t xml:space="preserve">T 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typically present peptides on MHC II?</w:t>
      </w:r>
      <w:r>
        <w:t xml:space="preserve"> </w:t>
      </w:r>
      <w:r>
        <w:t xml:space="preserve">— Professional antigen-presenting cells: dendritic cells, macrophages, and B cells; thymic epithelial cells also present peptides during T-cell selection.</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7"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independently written guide synthesizes concepts from standard microscopic anatomy.</w:t>
      </w:r>
      <w:r>
        <w:t xml:space="preserve"> </w:t>
      </w:r>
      <w:r>
        <w:rPr>
          <w:i/>
          <w:iCs/>
        </w:rPr>
        <w:t xml:space="preserve">Junqueira’s Basic Histology</w:t>
      </w:r>
      <w:r>
        <w:t xml:space="preserve">, 17th edition, is a principal textbook for the curriculum and broad structure;</w:t>
      </w:r>
      <w:r>
        <w:t xml:space="preserve"> </w:t>
      </w:r>
      <w:r>
        <w:rPr>
          <w:b/>
          <w:bCs/>
        </w:rPr>
        <w:t xml:space="preserve">its inclusion does not certify a line-by-line verification of the entire manuscript</w:t>
      </w:r>
      <w:r>
        <w:t xml:space="preserve">. Other textbooks below are suggestions for deeper study. Selected scientific papers are cited where specific corrections were checked against accessible abstracts or full text. No copyrighted photographs or passages have been copied into this book.</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Barry-Carroll L, Gomez-Nicola D. The molecular determinants of microglial developmental dynamics.</w:t>
      </w:r>
      <w:r>
        <w:t xml:space="preserve"> </w:t>
      </w:r>
      <w:r>
        <w:rPr>
          <w:i/>
          <w:iCs/>
        </w:rPr>
        <w:t xml:space="preserve">Nature Reviews Neuroscience</w:t>
      </w:r>
      <w:r>
        <w:t xml:space="preserve">. 2024;25:414–427. doi:10.1038/s41583-024-00813-1. Microglia mainly originate from yolk-sac progenitors and self-maintain within CNS tissue.</w:t>
      </w:r>
    </w:p>
    <w:p>
      <w:pPr>
        <w:pStyle w:val="Compact"/>
        <w:numPr>
          <w:ilvl w:val="0"/>
          <w:numId w:val="1146"/>
        </w:numPr>
      </w:pPr>
      <w:r>
        <w:t xml:space="preserve">Roche PA, Furuta K. The ins and outs of MHC class II-mediated antigen processing and presentation.</w:t>
      </w:r>
      <w:r>
        <w:t xml:space="preserve"> </w:t>
      </w:r>
      <w:r>
        <w:rPr>
          <w:i/>
          <w:iCs/>
        </w:rPr>
        <w:t xml:space="preserve">Nature Reviews Immunology</w:t>
      </w:r>
      <w:r>
        <w:t xml:space="preserve">. 2015;15:203–216. doi:10.1038/nri3818. Professional MHC-II antigen presenters include dendritic cells, macrophages, B cells, and thymic epithelial cells.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Evidence and verification limits.</w:t>
      </w:r>
      <w:r>
        <w:t xml:space="preserve"> </w:t>
      </w:r>
      <w:r>
        <w:t xml:space="preserve">The manuscript underwent automated structural checks and targeted correction of specific histology claims. The dated, identifiable references above support those selected corrections; this is</w:t>
      </w:r>
      <w:r>
        <w:t xml:space="preserve"> </w:t>
      </w:r>
      <w:r>
        <w:rPr>
          <w:b/>
          <w:bCs/>
        </w:rPr>
        <w:t xml:space="preserve">not</w:t>
      </w:r>
      <w:r>
        <w:t xml:space="preserve"> </w:t>
      </w:r>
      <w:r>
        <w:t xml:space="preserve">a comprehensive citation-by-citation audit of all measurements, mechanisms, clinical correlations, or practice questions. General textbook coverage does not replace independent specialist review. Numeric estimates vary by specimen, method, and population and should be interpreted as approximate unless a clear source and context are supplied.</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Start w:id="376" w:name="Xdc4271083988d4baa1f727475d370ece2b73a57"/>
    <w:p>
      <w:pPr>
        <w:pStyle w:val="Heading2"/>
        <w:pageBreakBefore/>
      </w:pPr>
      <w:r>
        <w:t xml:space="preserve">Appendix E · Guided Practice with Real Histology Slides</w:t>
      </w:r>
    </w:p>
    <w:p>
      <w:pPr>
        <w:pStyle w:val="FirstParagraph"/>
      </w:pPr>
      <w:r>
        <w:rPr>
          <w:b/>
          <w:bCs/>
        </w:rPr>
        <w:t xml:space="preserve">An optional companion to the schematic atlas.</w:t>
      </w:r>
      <w:r>
        <w:t xml:space="preserve"> </w:t>
      </w:r>
      <w:r>
        <w:t xml:space="preserve">Appendix D contains original diagrams that simplify the position of tissue structures. Real histological sections vary with the species, stain, tissue processing, section plane, and normal biological variation. To develop practical recognition, attempt the tasks below using a microscope, your school’s teaching slides, or the freely viewable educational websites listed here.</w:t>
      </w:r>
    </w:p>
    <w:p>
      <w:pPr>
        <w:pStyle w:val="BodyText"/>
      </w:pPr>
      <w:r>
        <w:rPr>
          <w:b/>
          <w:bCs/>
        </w:rPr>
        <w:t xml:space="preserve">Independent university slide resources (accessed for availability in October 2026):</w:t>
      </w:r>
    </w:p>
    <w:p>
      <w:pPr>
        <w:pStyle w:val="Compact"/>
        <w:numPr>
          <w:ilvl w:val="0"/>
          <w:numId w:val="1147"/>
        </w:numPr>
      </w:pPr>
      <w:r>
        <w:rPr>
          <w:b/>
          <w:bCs/>
        </w:rPr>
        <w:t xml:space="preserve">University of Michigan Histology Laboratory Manual and Virtual Microscopy:</w:t>
      </w:r>
      <w:r>
        <w:t xml:space="preserve"> </w:t>
      </w:r>
      <w:r>
        <w:t xml:space="preserve">https://histology.medicine.umich.edu/home — open medical-school teaching resource, with a laboratory manual and slide collections.</w:t>
      </w:r>
    </w:p>
    <w:p>
      <w:pPr>
        <w:pStyle w:val="Compact"/>
        <w:numPr>
          <w:ilvl w:val="0"/>
          <w:numId w:val="1147"/>
        </w:numPr>
      </w:pPr>
      <w:r>
        <w:rPr>
          <w:b/>
          <w:bCs/>
        </w:rPr>
        <w:t xml:space="preserve">University of Leeds — The Histology Guide:</w:t>
      </w:r>
      <w:r>
        <w:t xml:space="preserve"> </w:t>
      </w:r>
      <w:r>
        <w:t xml:space="preserve">https://histology.leeds.ac.uk/ — virtual microscope, labels that can be hidden, zoomable slides, and topic quizzes.</w:t>
      </w:r>
    </w:p>
    <w:p>
      <w:pPr>
        <w:pStyle w:val="Compact"/>
        <w:numPr>
          <w:ilvl w:val="0"/>
          <w:numId w:val="1147"/>
        </w:numPr>
      </w:pPr>
      <w:r>
        <w:rPr>
          <w:b/>
          <w:bCs/>
        </w:rPr>
        <w:t xml:space="preserve">Yale Histology:</w:t>
      </w:r>
      <w:r>
        <w:t xml:space="preserve"> </w:t>
      </w:r>
      <w:r>
        <w:t xml:space="preserve">https://medcell.org/histology/ — organ-system sections and slide identification examples.</w:t>
      </w:r>
    </w:p>
    <w:p>
      <w:pPr>
        <w:pStyle w:val="Compact"/>
        <w:numPr>
          <w:ilvl w:val="0"/>
          <w:numId w:val="1147"/>
        </w:numPr>
      </w:pPr>
      <w:r>
        <w:rPr>
          <w:b/>
          <w:bCs/>
        </w:rPr>
        <w:t xml:space="preserve">University of Minnesota Virtual Microscopy Slide Box:</w:t>
      </w:r>
      <w:r>
        <w:t xml:space="preserve"> </w:t>
      </w:r>
      <w:r>
        <w:t xml:space="preserve">https://cbs-histology02.oit.umn.edu/slidebox/slidebox.html — organized by cells, tissues, organ systems and tissue look-alikes.</w:t>
      </w:r>
    </w:p>
    <w:p>
      <w:pPr>
        <w:pStyle w:val="FirstParagraph"/>
      </w:pPr>
      <w:r>
        <w:t xml:space="preserve">These websites are owned and maintained by their respective institutions.</w:t>
      </w:r>
      <w:r>
        <w:t xml:space="preserve"> </w:t>
      </w:r>
      <w:r>
        <w:rPr>
          <w:b/>
          <w:bCs/>
        </w:rPr>
        <w:t xml:space="preserve">Links do not grant permission to reproduce their images</w:t>
      </w:r>
      <w:r>
        <w:t xml:space="preserve">, and no third-party micrographs are included in this book. Websites may change, may need an internet connection, and can have their own usage terms. An offline laboratory set is an equally suitable alternative.</w:t>
      </w:r>
    </w:p>
    <w:bookmarkStart w:id="373" w:name="the-five-observation-slide-record"/>
    <w:p>
      <w:pPr>
        <w:pStyle w:val="Heading3"/>
      </w:pPr>
      <w:r>
        <w:t xml:space="preserve">The five-observation slide record</w:t>
      </w:r>
    </w:p>
    <w:p>
      <w:pPr>
        <w:pStyle w:val="FirstParagraph"/>
      </w:pPr>
      <w:r>
        <w:t xml:space="preserve">For</w:t>
      </w:r>
      <w:r>
        <w:t xml:space="preserve"> </w:t>
      </w:r>
      <w:r>
        <w:rPr>
          <w:b/>
          <w:bCs/>
        </w:rPr>
        <w:t xml:space="preserve">each unknown slide</w:t>
      </w:r>
      <w:r>
        <w:t xml:space="preserve">, write five short items</w:t>
      </w:r>
      <w:r>
        <w:t xml:space="preserve"> </w:t>
      </w:r>
      <w:r>
        <w:rPr>
          <w:i/>
          <w:iCs/>
        </w:rPr>
        <w:t xml:space="preserve">before</w:t>
      </w:r>
      <w:r>
        <w:t xml:space="preserve"> </w:t>
      </w:r>
      <w:r>
        <w:t xml:space="preserve">revealing any labels:</w:t>
      </w:r>
    </w:p>
    <w:p>
      <w:pPr>
        <w:pStyle w:val="Compact"/>
        <w:numPr>
          <w:ilvl w:val="0"/>
          <w:numId w:val="1148"/>
        </w:numPr>
      </w:pPr>
      <w:r>
        <w:rPr>
          <w:b/>
          <w:bCs/>
        </w:rPr>
        <w:t xml:space="preserve">Preparation and scale:</w:t>
      </w:r>
      <w:r>
        <w:t xml:space="preserve"> </w:t>
      </w:r>
      <w:r>
        <w:t xml:space="preserve">Identify the stain and approximate low- or high-power view. Do not infer a specific protein from H&amp;E color alone.</w:t>
      </w:r>
    </w:p>
    <w:p>
      <w:pPr>
        <w:pStyle w:val="Compact"/>
        <w:numPr>
          <w:ilvl w:val="0"/>
          <w:numId w:val="1148"/>
        </w:numPr>
      </w:pPr>
      <w:r>
        <w:rPr>
          <w:b/>
          <w:bCs/>
        </w:rPr>
        <w:t xml:space="preserve">Overall organization:</w:t>
      </w:r>
      <w:r>
        <w:t xml:space="preserve"> </w:t>
      </w:r>
      <w:r>
        <w:t xml:space="preserve">Hollow or solid organ? Lumen, capsule, septum, layering, cortex, medulla, or repeating units?</w:t>
      </w:r>
    </w:p>
    <w:p>
      <w:pPr>
        <w:pStyle w:val="Compact"/>
        <w:numPr>
          <w:ilvl w:val="0"/>
          <w:numId w:val="1148"/>
        </w:numPr>
      </w:pPr>
      <w:r>
        <w:rPr>
          <w:b/>
          <w:bCs/>
        </w:rPr>
        <w:t xml:space="preserve">Two positive landmarks:</w:t>
      </w:r>
      <w:r>
        <w:t xml:space="preserve"> </w:t>
      </w:r>
      <w:r>
        <w:t xml:space="preserve">Name two structures you can see that actively support your proposed tissue or organ.</w:t>
      </w:r>
    </w:p>
    <w:p>
      <w:pPr>
        <w:pStyle w:val="Compact"/>
        <w:numPr>
          <w:ilvl w:val="0"/>
          <w:numId w:val="1148"/>
        </w:numPr>
      </w:pPr>
      <w:r>
        <w:rPr>
          <w:b/>
          <w:bCs/>
        </w:rPr>
        <w:t xml:space="preserve">One alternative:</w:t>
      </w:r>
      <w:r>
        <w:t xml:space="preserve"> </w:t>
      </w:r>
      <w:r>
        <w:t xml:space="preserve">State the closest look-alike and the missing or present feature that separates the two.</w:t>
      </w:r>
    </w:p>
    <w:p>
      <w:pPr>
        <w:pStyle w:val="Compact"/>
        <w:numPr>
          <w:ilvl w:val="0"/>
          <w:numId w:val="1148"/>
        </w:numPr>
      </w:pPr>
      <w:r>
        <w:rPr>
          <w:b/>
          <w:bCs/>
        </w:rPr>
        <w:t xml:space="preserve">Confidence and limitation:</w:t>
      </w:r>
      <w:r>
        <w:t xml:space="preserve"> </w:t>
      </w:r>
      <w:r>
        <w:t xml:space="preserve">What part of the sample is absent, cut obliquely, folded, or poorly preserved? If uncertain, identify the tissue at the highest defensible level.</w:t>
      </w:r>
    </w:p>
    <w:p>
      <w:pPr>
        <w:pStyle w:val="FirstParagraph"/>
      </w:pPr>
      <w:r>
        <w:rPr>
          <w:b/>
          <w:bCs/>
        </w:rPr>
        <w:t xml:space="preserve">Remember:</w:t>
      </w:r>
      <w:r>
        <w:t xml:space="preserve"> </w:t>
      </w:r>
      <w:r>
        <w:t xml:space="preserve">A recognizable picture is not proof that you have learned the structure. The goal is to recognize an unfamiliar section at a different magnification.</w:t>
      </w:r>
    </w:p>
    <w:bookmarkEnd w:id="373"/>
    <w:bookmarkStart w:id="374" w:name="chapter-by-chapter-real-slide-challenges"/>
    <w:p>
      <w:pPr>
        <w:pStyle w:val="Heading3"/>
      </w:pPr>
      <w:r>
        <w:t xml:space="preserve">Chapter-by-chapter real-slide challenges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Chapter</w:t>
            </w:r>
          </w:p>
        </w:tc>
        <w:tc>
          <w:tcPr/>
          <w:p>
            <w:pPr>
              <w:pStyle w:val="Compact"/>
            </w:pPr>
            <w:r>
              <w:t xml:space="preserve">Find these landmarks in real sections</w:t>
            </w:r>
          </w:p>
        </w:tc>
        <w:tc>
          <w:tcPr/>
          <w:p>
            <w:pPr>
              <w:pStyle w:val="Compact"/>
            </w:pPr>
            <w:r>
              <w:t xml:space="preserve">Guard against this common confusion</w:t>
            </w:r>
          </w:p>
        </w:tc>
      </w:tr>
      <w:tr>
        <w:tc>
          <w:tcPr/>
          <w:p>
            <w:pPr>
              <w:pStyle w:val="Compact"/>
            </w:pPr>
            <w:r>
              <w:t xml:space="preserve">1 · Study methods</w:t>
            </w:r>
          </w:p>
        </w:tc>
        <w:tc>
          <w:tcPr/>
          <w:p>
            <w:pPr>
              <w:pStyle w:val="Compact"/>
            </w:pPr>
            <w:r>
              <w:t xml:space="preserve">Compare H&amp;E with PAS or another labeled special stain; identify one processing artifact.</w:t>
            </w:r>
          </w:p>
        </w:tc>
        <w:tc>
          <w:tcPr/>
          <w:p>
            <w:pPr>
              <w:pStyle w:val="Compact"/>
            </w:pPr>
            <w:r>
              <w:t xml:space="preserve">A clear space from shrinkage is not automatically a vessel or gland lumen.</w:t>
            </w:r>
          </w:p>
        </w:tc>
      </w:tr>
      <w:tr>
        <w:tc>
          <w:tcPr/>
          <w:p>
            <w:pPr>
              <w:pStyle w:val="Compact"/>
            </w:pPr>
            <w:r>
              <w:t xml:space="preserve">2 · Cytoplasm</w:t>
            </w:r>
          </w:p>
        </w:tc>
        <w:tc>
          <w:tcPr/>
          <w:p>
            <w:pPr>
              <w:pStyle w:val="Compact"/>
            </w:pPr>
            <w:r>
              <w:t xml:space="preserve">Compare a protein-secreting cell, an absorptive cell, and a mitochondria-rich cell.</w:t>
            </w:r>
          </w:p>
        </w:tc>
        <w:tc>
          <w:tcPr/>
          <w:p>
            <w:pPr>
              <w:pStyle w:val="Compact"/>
            </w:pPr>
            <w:r>
              <w:t xml:space="preserve">Ordinary light microscopy cannot separately resolve most individual organelles.</w:t>
            </w:r>
          </w:p>
        </w:tc>
      </w:tr>
      <w:tr>
        <w:tc>
          <w:tcPr/>
          <w:p>
            <w:pPr>
              <w:pStyle w:val="Compact"/>
            </w:pPr>
            <w:r>
              <w:t xml:space="preserve">3 · Nucleus</w:t>
            </w:r>
          </w:p>
        </w:tc>
        <w:tc>
          <w:tcPr/>
          <w:p>
            <w:pPr>
              <w:pStyle w:val="Compact"/>
            </w:pPr>
            <w:r>
              <w:t xml:space="preserve">Identify euchromatic versus heterochromatic nuclei and a convincing mitotic figure.</w:t>
            </w:r>
          </w:p>
        </w:tc>
        <w:tc>
          <w:tcPr/>
          <w:p>
            <w:pPr>
              <w:pStyle w:val="Compact"/>
            </w:pPr>
            <w:r>
              <w:t xml:space="preserve">Not every dark irregular nucleus represents mitosis or disease.</w:t>
            </w:r>
          </w:p>
        </w:tc>
      </w:tr>
      <w:tr>
        <w:tc>
          <w:tcPr/>
          <w:p>
            <w:pPr>
              <w:pStyle w:val="Compact"/>
            </w:pPr>
            <w:r>
              <w:t xml:space="preserve">4 · Epithelium</w:t>
            </w:r>
          </w:p>
        </w:tc>
        <w:tc>
          <w:tcPr/>
          <w:p>
            <w:pPr>
              <w:pStyle w:val="Compact"/>
            </w:pPr>
            <w:r>
              <w:t xml:space="preserve">Classify a simple, pseudostratified, and stratified epithelium; note any cilia or keratin.</w:t>
            </w:r>
          </w:p>
        </w:tc>
        <w:tc>
          <w:tcPr/>
          <w:p>
            <w:pPr>
              <w:pStyle w:val="Compact"/>
            </w:pPr>
            <w:r>
              <w:t xml:space="preserve">Nuclei at differing heights do not necessarily mean multiple layers.</w:t>
            </w:r>
          </w:p>
        </w:tc>
      </w:tr>
      <w:tr>
        <w:tc>
          <w:tcPr/>
          <w:p>
            <w:pPr>
              <w:pStyle w:val="Compact"/>
            </w:pPr>
            <w:r>
              <w:t xml:space="preserve">5 · Connective tissue</w:t>
            </w:r>
          </w:p>
        </w:tc>
        <w:tc>
          <w:tcPr/>
          <w:p>
            <w:pPr>
              <w:pStyle w:val="Compact"/>
            </w:pPr>
            <w:r>
              <w:t xml:space="preserve">Locate fibroblast nuclei, collagen bundles, and loose versus dense matrix.</w:t>
            </w:r>
          </w:p>
        </w:tc>
        <w:tc>
          <w:tcPr/>
          <w:p>
            <w:pPr>
              <w:pStyle w:val="Compact"/>
            </w:pPr>
            <w:r>
              <w:t xml:space="preserve">A single spindle nucleus rarely establishes a particular cell lineage.</w:t>
            </w:r>
          </w:p>
        </w:tc>
      </w:tr>
      <w:tr>
        <w:tc>
          <w:tcPr/>
          <w:p>
            <w:pPr>
              <w:pStyle w:val="Compact"/>
            </w:pPr>
            <w:r>
              <w:t xml:space="preserve">6 · Adipose</w:t>
            </w:r>
          </w:p>
        </w:tc>
        <w:tc>
          <w:tcPr/>
          <w:p>
            <w:pPr>
              <w:pStyle w:val="Compact"/>
            </w:pPr>
            <w:r>
              <w:t xml:space="preserve">Compare a large unilocular adipocyte and a multilocular brown adipocyte where available.</w:t>
            </w:r>
          </w:p>
        </w:tc>
        <w:tc>
          <w:tcPr/>
          <w:p>
            <w:pPr>
              <w:pStyle w:val="Compact"/>
            </w:pPr>
            <w:r>
              <w:t xml:space="preserve">Lipid often disappears during conventional paraffin processing.</w:t>
            </w:r>
          </w:p>
        </w:tc>
      </w:tr>
      <w:tr>
        <w:tc>
          <w:tcPr/>
          <w:p>
            <w:pPr>
              <w:pStyle w:val="Compact"/>
            </w:pPr>
            <w:r>
              <w:t xml:space="preserve">7 · Cartilage</w:t>
            </w:r>
          </w:p>
        </w:tc>
        <w:tc>
          <w:tcPr/>
          <w:p>
            <w:pPr>
              <w:pStyle w:val="Compact"/>
            </w:pPr>
            <w:r>
              <w:t xml:space="preserve">Distinguish hyaline, elastic, and fibrocartilage by lacunae and matrix texture.</w:t>
            </w:r>
          </w:p>
        </w:tc>
        <w:tc>
          <w:tcPr/>
          <w:p>
            <w:pPr>
              <w:pStyle w:val="Compact"/>
            </w:pPr>
            <w:r>
              <w:t xml:space="preserve">Articular hyaline cartilage has no perichondrium, just as fibrocartilage lacks one.</w:t>
            </w:r>
          </w:p>
        </w:tc>
      </w:tr>
      <w:tr>
        <w:tc>
          <w:tcPr/>
          <w:p>
            <w:pPr>
              <w:pStyle w:val="Compact"/>
            </w:pPr>
            <w:r>
              <w:t xml:space="preserve">8 · Bone</w:t>
            </w:r>
          </w:p>
        </w:tc>
        <w:tc>
          <w:tcPr/>
          <w:p>
            <w:pPr>
              <w:pStyle w:val="Compact"/>
            </w:pPr>
            <w:r>
              <w:t xml:space="preserve">Find an osteon with a central canal and compare trabecular bone with marrow spaces.</w:t>
            </w:r>
          </w:p>
        </w:tc>
        <w:tc>
          <w:tcPr/>
          <w:p>
            <w:pPr>
              <w:pStyle w:val="Compact"/>
            </w:pPr>
            <w:r>
              <w:t xml:space="preserve">Osteocytes occupy bone lacunae; osteoclasts resorb surfaces, often in pits.</w:t>
            </w:r>
          </w:p>
        </w:tc>
      </w:tr>
      <w:tr>
        <w:tc>
          <w:tcPr/>
          <w:p>
            <w:pPr>
              <w:pStyle w:val="Compact"/>
            </w:pPr>
            <w:r>
              <w:t xml:space="preserve">9 · Nervous tissue</w:t>
            </w:r>
          </w:p>
        </w:tc>
        <w:tc>
          <w:tcPr/>
          <w:p>
            <w:pPr>
              <w:pStyle w:val="Compact"/>
            </w:pPr>
            <w:r>
              <w:t xml:space="preserve">Compare a sensory ganglion, peripheral nerve fascicle, and cerebellar cortex.</w:t>
            </w:r>
          </w:p>
        </w:tc>
        <w:tc>
          <w:tcPr/>
          <w:p>
            <w:pPr>
              <w:pStyle w:val="Compact"/>
            </w:pPr>
            <w:r>
              <w:t xml:space="preserve">Routine H&amp;E seldom identifies all glial subtypes with confidence.</w:t>
            </w:r>
          </w:p>
        </w:tc>
      </w:tr>
      <w:tr>
        <w:tc>
          <w:tcPr/>
          <w:p>
            <w:pPr>
              <w:pStyle w:val="Compact"/>
            </w:pPr>
            <w:r>
              <w:t xml:space="preserve">10 · Muscle</w:t>
            </w:r>
          </w:p>
        </w:tc>
        <w:tc>
          <w:tcPr/>
          <w:p>
            <w:pPr>
              <w:pStyle w:val="Compact"/>
            </w:pPr>
            <w:r>
              <w:t xml:space="preserve">Distinguish skeletal, cardiac, and smooth muscle in longitudinal and transverse sections.</w:t>
            </w:r>
          </w:p>
        </w:tc>
        <w:tc>
          <w:tcPr/>
          <w:p>
            <w:pPr>
              <w:pStyle w:val="Compact"/>
            </w:pPr>
            <w:r>
              <w:t xml:space="preserve">Oblique cuts may conceal striations and falsely change nuclear position.</w:t>
            </w:r>
          </w:p>
        </w:tc>
      </w:tr>
      <w:tr>
        <w:tc>
          <w:tcPr/>
          <w:p>
            <w:pPr>
              <w:pStyle w:val="Compact"/>
            </w:pPr>
            <w:r>
              <w:t xml:space="preserve">11 · Circulation</w:t>
            </w:r>
          </w:p>
        </w:tc>
        <w:tc>
          <w:tcPr/>
          <w:p>
            <w:pPr>
              <w:pStyle w:val="Compact"/>
            </w:pPr>
            <w:r>
              <w:t xml:space="preserve">Identify an artery–vein pair and the thin wall of an initial lymphatic where visible.</w:t>
            </w:r>
          </w:p>
        </w:tc>
        <w:tc>
          <w:tcPr/>
          <w:p>
            <w:pPr>
              <w:pStyle w:val="Compact"/>
            </w:pPr>
            <w:r>
              <w:t xml:space="preserve">A round lumen alone does not define an artery; use the tunica media.</w:t>
            </w:r>
          </w:p>
        </w:tc>
      </w:tr>
      <w:tr>
        <w:tc>
          <w:tcPr/>
          <w:p>
            <w:pPr>
              <w:pStyle w:val="Compact"/>
            </w:pPr>
            <w:r>
              <w:t xml:space="preserve">12 · Blood</w:t>
            </w:r>
          </w:p>
        </w:tc>
        <w:tc>
          <w:tcPr/>
          <w:p>
            <w:pPr>
              <w:pStyle w:val="Compact"/>
            </w:pPr>
            <w:r>
              <w:t xml:space="preserve">Identify five leukocyte classes, platelets and erythrocytes in a good smear.</w:t>
            </w:r>
          </w:p>
        </w:tc>
        <w:tc>
          <w:tcPr/>
          <w:p>
            <w:pPr>
              <w:pStyle w:val="Compact"/>
            </w:pPr>
            <w:r>
              <w:t xml:space="preserve">Stain precipitate and overlapping erythrocytes may mislead counting.</w:t>
            </w:r>
          </w:p>
        </w:tc>
      </w:tr>
      <w:tr>
        <w:tc>
          <w:tcPr/>
          <w:p>
            <w:pPr>
              <w:pStyle w:val="Compact"/>
            </w:pPr>
            <w:r>
              <w:t xml:space="preserve">13 · Hemopoiesis</w:t>
            </w:r>
          </w:p>
        </w:tc>
        <w:tc>
          <w:tcPr/>
          <w:p>
            <w:pPr>
              <w:pStyle w:val="Compact"/>
            </w:pPr>
            <w:r>
              <w:t xml:space="preserve">Look for erythroid precursors, granulocytic stages, and a megakaryocyte in marrow.</w:t>
            </w:r>
          </w:p>
        </w:tc>
        <w:tc>
          <w:tcPr/>
          <w:p>
            <w:pPr>
              <w:pStyle w:val="Compact"/>
            </w:pPr>
            <w:r>
              <w:t xml:space="preserve">A large atypical-looking marrow cell is not automatically a megakaryocyte.</w:t>
            </w:r>
          </w:p>
        </w:tc>
      </w:tr>
      <w:tr>
        <w:tc>
          <w:tcPr/>
          <w:p>
            <w:pPr>
              <w:pStyle w:val="Compact"/>
            </w:pPr>
            <w:r>
              <w:t xml:space="preserve">14 · Lymphoid organs</w:t>
            </w:r>
          </w:p>
        </w:tc>
        <w:tc>
          <w:tcPr/>
          <w:p>
            <w:pPr>
              <w:pStyle w:val="Compact"/>
            </w:pPr>
            <w:r>
              <w:t xml:space="preserve">Distinguish thymus, lymph node, spleen, and tonsil on architecture.</w:t>
            </w:r>
          </w:p>
        </w:tc>
        <w:tc>
          <w:tcPr/>
          <w:p>
            <w:pPr>
              <w:pStyle w:val="Compact"/>
            </w:pPr>
            <w:r>
              <w:t xml:space="preserve">A lymphoid follicle is not unique to lymph node; locate the whole-organ landmarks.</w:t>
            </w:r>
          </w:p>
        </w:tc>
      </w:tr>
      <w:tr>
        <w:tc>
          <w:tcPr/>
          <w:p>
            <w:pPr>
              <w:pStyle w:val="Compact"/>
            </w:pPr>
            <w:r>
              <w:t xml:space="preserve">15 · Digestive tract</w:t>
            </w:r>
          </w:p>
        </w:tc>
        <w:tc>
          <w:tcPr/>
          <w:p>
            <w:pPr>
              <w:pStyle w:val="Compact"/>
            </w:pPr>
            <w:r>
              <w:t xml:space="preserve">Compare duodenal, ileal, and colonic mucosa; search for submucosal Brunner glands.</w:t>
            </w:r>
          </w:p>
        </w:tc>
        <w:tc>
          <w:tcPr/>
          <w:p>
            <w:pPr>
              <w:pStyle w:val="Compact"/>
            </w:pPr>
            <w:r>
              <w:t xml:space="preserve">A mucosal biopsy may miss the segment-defining submucosa.</w:t>
            </w:r>
          </w:p>
        </w:tc>
      </w:tr>
      <w:tr>
        <w:tc>
          <w:tcPr/>
          <w:p>
            <w:pPr>
              <w:pStyle w:val="Compact"/>
            </w:pPr>
            <w:r>
              <w:t xml:space="preserve">16 · Associated digestive organs</w:t>
            </w:r>
          </w:p>
        </w:tc>
        <w:tc>
          <w:tcPr/>
          <w:p>
            <w:pPr>
              <w:pStyle w:val="Compact"/>
            </w:pPr>
            <w:r>
              <w:t xml:space="preserve">Distinguish hepatocyte plates, bile ducts, exocrine pancreatic acini, and endocrine islets.</w:t>
            </w:r>
          </w:p>
        </w:tc>
        <w:tc>
          <w:tcPr/>
          <w:p>
            <w:pPr>
              <w:pStyle w:val="Compact"/>
            </w:pPr>
            <w:r>
              <w:t xml:space="preserve">A bile duct, blood vessel, and sinusoid differ in lining and location.</w:t>
            </w:r>
          </w:p>
        </w:tc>
      </w:tr>
      <w:tr>
        <w:tc>
          <w:tcPr/>
          <w:p>
            <w:pPr>
              <w:pStyle w:val="Compact"/>
            </w:pPr>
            <w:r>
              <w:t xml:space="preserve">17 · Respiratory system</w:t>
            </w:r>
          </w:p>
        </w:tc>
        <w:tc>
          <w:tcPr/>
          <w:p>
            <w:pPr>
              <w:pStyle w:val="Compact"/>
            </w:pPr>
            <w:r>
              <w:t xml:space="preserve">Follow trachea to bronchus, bronchiole and alveoli; identify cartilage where present.</w:t>
            </w:r>
          </w:p>
        </w:tc>
        <w:tc>
          <w:tcPr/>
          <w:p>
            <w:pPr>
              <w:pStyle w:val="Compact"/>
            </w:pPr>
            <w:r>
              <w:t xml:space="preserve">Bronchioles lack cartilage, but a collapsed section can mimic another airway.</w:t>
            </w:r>
          </w:p>
        </w:tc>
      </w:tr>
      <w:tr>
        <w:tc>
          <w:tcPr/>
          <w:p>
            <w:pPr>
              <w:pStyle w:val="Compact"/>
            </w:pPr>
            <w:r>
              <w:t xml:space="preserve">18 · Skin</w:t>
            </w:r>
          </w:p>
        </w:tc>
        <w:tc>
          <w:tcPr/>
          <w:p>
            <w:pPr>
              <w:pStyle w:val="Compact"/>
            </w:pPr>
            <w:r>
              <w:t xml:space="preserve">Compare hair-bearing thin skin with thick palmar or plantar skin and an eccrine coil.</w:t>
            </w:r>
          </w:p>
        </w:tc>
        <w:tc>
          <w:tcPr/>
          <w:p>
            <w:pPr>
              <w:pStyle w:val="Compact"/>
            </w:pPr>
            <w:r>
              <w:t xml:space="preserve">Sweat-gland ducts and secretory coils have different epithelial patterns.</w:t>
            </w:r>
          </w:p>
        </w:tc>
      </w:tr>
      <w:tr>
        <w:tc>
          <w:tcPr/>
          <w:p>
            <w:pPr>
              <w:pStyle w:val="Compact"/>
            </w:pPr>
            <w:r>
              <w:t xml:space="preserve">19 · Urinary system</w:t>
            </w:r>
          </w:p>
        </w:tc>
        <w:tc>
          <w:tcPr/>
          <w:p>
            <w:pPr>
              <w:pStyle w:val="Compact"/>
            </w:pPr>
            <w:r>
              <w:t xml:space="preserve">Identify renal cortex with corpuscles, proximal and distal tubules, and collecting ducts.</w:t>
            </w:r>
          </w:p>
        </w:tc>
        <w:tc>
          <w:tcPr/>
          <w:p>
            <w:pPr>
              <w:pStyle w:val="Compact"/>
            </w:pPr>
            <w:r>
              <w:t xml:space="preserve">A single tubular profile rarely proves its nephron segment.</w:t>
            </w:r>
          </w:p>
        </w:tc>
      </w:tr>
      <w:tr>
        <w:tc>
          <w:tcPr/>
          <w:p>
            <w:pPr>
              <w:pStyle w:val="Compact"/>
            </w:pPr>
            <w:r>
              <w:t xml:space="preserve">20 · Endocrine glands</w:t>
            </w:r>
          </w:p>
        </w:tc>
        <w:tc>
          <w:tcPr/>
          <w:p>
            <w:pPr>
              <w:pStyle w:val="Compact"/>
            </w:pPr>
            <w:r>
              <w:t xml:space="preserve">Distinguish thyroid follicles, adrenal cortical zones, and pituitary regions.</w:t>
            </w:r>
          </w:p>
        </w:tc>
        <w:tc>
          <w:tcPr/>
          <w:p>
            <w:pPr>
              <w:pStyle w:val="Compact"/>
            </w:pPr>
            <w:r>
              <w:t xml:space="preserve">Not every pale cell cluster is a pancreatic islet or pituitary cell type.</w:t>
            </w:r>
          </w:p>
        </w:tc>
      </w:tr>
      <w:tr>
        <w:tc>
          <w:tcPr/>
          <w:p>
            <w:pPr>
              <w:pStyle w:val="Compact"/>
            </w:pPr>
            <w:r>
              <w:t xml:space="preserve">21 · Male reproductive tract</w:t>
            </w:r>
          </w:p>
        </w:tc>
        <w:tc>
          <w:tcPr/>
          <w:p>
            <w:pPr>
              <w:pStyle w:val="Compact"/>
            </w:pPr>
            <w:r>
              <w:t xml:space="preserve">Compare seminiferous tubules, epididymal duct, and ductus deferens.</w:t>
            </w:r>
          </w:p>
        </w:tc>
        <w:tc>
          <w:tcPr/>
          <w:p>
            <w:pPr>
              <w:pStyle w:val="Compact"/>
            </w:pPr>
            <w:r>
              <w:t xml:space="preserve">Stereocilia in the epididymis are elongated microvilli, not motile cilia.</w:t>
            </w:r>
          </w:p>
        </w:tc>
      </w:tr>
      <w:tr>
        <w:tc>
          <w:tcPr/>
          <w:p>
            <w:pPr>
              <w:pStyle w:val="Compact"/>
            </w:pPr>
            <w:r>
              <w:t xml:space="preserve">22 · Female reproductive tract</w:t>
            </w:r>
          </w:p>
        </w:tc>
        <w:tc>
          <w:tcPr/>
          <w:p>
            <w:pPr>
              <w:pStyle w:val="Compact"/>
            </w:pPr>
            <w:r>
              <w:t xml:space="preserve">Compare developing ovarian follicles, corpus luteum, proliferative and secretory endometrium.</w:t>
            </w:r>
          </w:p>
        </w:tc>
        <w:tc>
          <w:tcPr/>
          <w:p>
            <w:pPr>
              <w:pStyle w:val="Compact"/>
            </w:pPr>
            <w:r>
              <w:t xml:space="preserve">A single gland cannot reliably date a whole endometrial specimen.</w:t>
            </w:r>
          </w:p>
        </w:tc>
      </w:tr>
      <w:tr>
        <w:tc>
          <w:tcPr/>
          <w:p>
            <w:pPr>
              <w:pStyle w:val="Compact"/>
            </w:pPr>
            <w:r>
              <w:t xml:space="preserve">23 · Eye and ear</w:t>
            </w:r>
          </w:p>
        </w:tc>
        <w:tc>
          <w:tcPr/>
          <w:p>
            <w:pPr>
              <w:pStyle w:val="Compact"/>
            </w:pPr>
            <w:r>
              <w:t xml:space="preserve">Identify retinal lamination and, where suitable sections exist, the organ of Corti.</w:t>
            </w:r>
          </w:p>
        </w:tc>
        <w:tc>
          <w:tcPr/>
          <w:p>
            <w:pPr>
              <w:pStyle w:val="Compact"/>
            </w:pPr>
            <w:r>
              <w:t xml:space="preserve">Tissue orientation can conceal the specialized sensory epithelium; use adjacent structures.</w:t>
            </w:r>
          </w:p>
        </w:tc>
      </w:tr>
    </w:tbl>
    <w:bookmarkEnd w:id="374"/>
    <w:bookmarkStart w:id="375" w:name="a-defensible-practical-assessment"/>
    <w:p>
      <w:pPr>
        <w:pStyle w:val="Heading3"/>
      </w:pPr>
      <w:r>
        <w:t xml:space="preserve">A defensible practical assessment</w:t>
      </w:r>
    </w:p>
    <w:p>
      <w:pPr>
        <w:pStyle w:val="FirstParagraph"/>
      </w:pPr>
      <w:r>
        <w:t xml:space="preserve">Select</w:t>
      </w:r>
      <w:r>
        <w:t xml:space="preserve"> </w:t>
      </w:r>
      <w:r>
        <w:rPr>
          <w:b/>
          <w:bCs/>
        </w:rPr>
        <w:t xml:space="preserve">twelve unlabeled views</w:t>
      </w:r>
      <w:r>
        <w:t xml:space="preserve"> </w:t>
      </w:r>
      <w:r>
        <w:t xml:space="preserve">across at least six tissue systems, with some views at unfamiliar magnifications. For each, record the five observations above. Compare your findings with a labeled reference only</w:t>
      </w:r>
      <w:r>
        <w:t xml:space="preserve"> </w:t>
      </w:r>
      <w:r>
        <w:rPr>
          <w:i/>
          <w:iCs/>
        </w:rPr>
        <w:t xml:space="preserve">after</w:t>
      </w:r>
      <w:r>
        <w:t xml:space="preserve"> </w:t>
      </w:r>
      <w:r>
        <w:t xml:space="preserve">making your first identification. A correct answer with weak evidence is a prompt for more study, while an uncertain but anatomically sound description is a useful intermediate result.</w:t>
      </w:r>
    </w:p>
    <w:p>
      <w:pPr>
        <w:pStyle w:val="BodyText"/>
      </w:pPr>
      <w:r>
        <w:t xml:space="preserve">This task is</w:t>
      </w:r>
      <w:r>
        <w:t xml:space="preserve"> </w:t>
      </w:r>
      <w:r>
        <w:rPr>
          <w:b/>
          <w:bCs/>
        </w:rPr>
        <w:t xml:space="preserve">not a validated examination score</w:t>
      </w:r>
      <w:r>
        <w:t xml:space="preserve">. It is a repeatable method for turning descriptive knowledge into tissue-identification skill.</w:t>
      </w:r>
    </w:p>
    <w:bookmarkEnd w:id="375"/>
    <w:bookmarkEnd w:id="376"/>
    <w:bookmarkEnd w:id="377"/>
    <w:bookmarkStart w:id="390" w:name="part-vii-practice-examination"/>
    <w:p>
      <w:pPr>
        <w:pStyle w:val="Heading1"/>
        <w:pageBreakBefore/>
      </w:pPr>
      <w:r>
        <w:t xml:space="preserve">PART VII — PRACTICE EXAMINATION</w:t>
      </w:r>
    </w:p>
    <w:bookmarkStart w:id="387"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8"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8"/>
    <w:bookmarkStart w:id="379"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9"/>
    <w:bookmarkStart w:id="380"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80"/>
    <w:bookmarkStart w:id="381"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81"/>
    <w:bookmarkStart w:id="382"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82"/>
    <w:bookmarkStart w:id="383"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83"/>
    <w:bookmarkStart w:id="384"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4"/>
    <w:bookmarkStart w:id="385"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5"/>
    <w:bookmarkStart w:id="386"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6"/>
    <w:bookmarkEnd w:id="387"/>
    <w:bookmarkStart w:id="388"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8"/>
    <w:bookmarkStart w:id="389"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2026-10-22T20:05:54Z</dcterms:created>
  <dcterms:modified xsi:type="dcterms:W3CDTF">2026-10-22T20:05:54Z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