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rPr>
          <w:b/>
          <w:bCs/>
        </w:rPr>
        <w:t xml:space="preserve">Microglia</w:t>
      </w:r>
      <w:r>
        <w:t xml:space="preserve"> </w:t>
      </w:r>
      <w:r>
        <w:t xml:space="preserve">are the resident CNS macrophages. Under usual physiological conditions they arise mainly from</w:t>
      </w:r>
      <w:r>
        <w:t xml:space="preserve"> </w:t>
      </w:r>
      <w:r>
        <w:rPr>
          <w:b/>
          <w:bCs/>
        </w:rPr>
        <w:t xml:space="preserve">embryonic yolk-sac myeloid progenitors</w:t>
      </w:r>
      <w:r>
        <w:t xml:space="preserve">, colonize the developing CNS, and largely maintain themselves by local self-renewal; they are not simply replenished from circulating adult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PNS axons regenerate through bands of Büngner; CNS axons do not regenerate.</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CNS glia act as resident macrophages, and where do they originate?</w:t>
      </w:r>
      <w:r>
        <w:t xml:space="preserve"> </w:t>
      </w:r>
      <w:r>
        <w:t xml:space="preserve">— Microglia; mainly from embryonic yolk-sac myeloid precursors rather than the adult circulating monocyte pool.</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p>
      <w:pPr>
        <w:pStyle w:val="BodyText"/>
      </w:pPr>
      <w:r>
        <w:rPr>
          <w:b/>
          <w:bCs/>
        </w:rPr>
        <w:t xml:space="preserve">Three-specimen localization exercise.</w:t>
      </w:r>
      <w:r>
        <w:t xml:space="preserve"> </w:t>
      </w:r>
      <w:r>
        <w:t xml:space="preserve">An unlabeled slide has large, round neuronal somata, each surrounded by a nearly continuous ring of small satellite-cell nuclei. This favors a</w:t>
      </w:r>
      <w:r>
        <w:t xml:space="preserve"> </w:t>
      </w:r>
      <w:r>
        <w:rPr>
          <w:b/>
          <w:bCs/>
        </w:rPr>
        <w:t xml:space="preserve">sensory (dorsal-root) ganglion</w:t>
      </w:r>
      <w:r>
        <w:t xml:space="preserve">, not a peripheral nerve trunk. A second section has parallel bundles of nerve fibers enclosed by a distinct perineurium, but no large neuronal somata: this favors a</w:t>
      </w:r>
      <w:r>
        <w:t xml:space="preserve"> </w:t>
      </w:r>
      <w:r>
        <w:rPr>
          <w:b/>
          <w:bCs/>
        </w:rPr>
        <w:t xml:space="preserve">peripheral nerve</w:t>
      </w:r>
      <w:r>
        <w:t xml:space="preserve">. A third section contains ependymal lining along a fluid-filled cavity, surrounded by nervous tissue: look for the</w:t>
      </w:r>
      <w:r>
        <w:t xml:space="preserve"> </w:t>
      </w:r>
      <w:r>
        <w:rPr>
          <w:b/>
          <w:bCs/>
        </w:rPr>
        <w:t xml:space="preserve">ventricular or central-canal region</w:t>
      </w:r>
      <w:r>
        <w:t xml:space="preserve"> </w:t>
      </w:r>
      <w:r>
        <w:t xml:space="preserve">rather than a ganglion.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Strongest interpretation</w:t>
            </w:r>
          </w:p>
        </w:tc>
        <w:tc>
          <w:tcPr/>
          <w:p>
            <w:pPr>
              <w:pStyle w:val="Compact"/>
            </w:pPr>
            <w:r>
              <w:t xml:space="preserve">Important limitation</w:t>
            </w:r>
          </w:p>
        </w:tc>
      </w:tr>
      <w:tr>
        <w:tc>
          <w:tcPr/>
          <w:p>
            <w:pPr>
              <w:pStyle w:val="Compact"/>
            </w:pPr>
            <w:r>
              <w:t xml:space="preserve">Neuronal somata with close satellite-cell rings</w:t>
            </w:r>
          </w:p>
        </w:tc>
        <w:tc>
          <w:tcPr/>
          <w:p>
            <w:pPr>
              <w:pStyle w:val="Compact"/>
            </w:pPr>
            <w:r>
              <w:t xml:space="preserve">Sensory ganglion</w:t>
            </w:r>
          </w:p>
        </w:tc>
        <w:tc>
          <w:tcPr/>
          <w:p>
            <w:pPr>
              <w:pStyle w:val="Compact"/>
            </w:pPr>
            <w:r>
              <w:t xml:space="preserve">Orientation and neuronal size vary</w:t>
            </w:r>
          </w:p>
        </w:tc>
      </w:tr>
      <w:tr>
        <w:tc>
          <w:tcPr/>
          <w:p>
            <w:pPr>
              <w:pStyle w:val="Compact"/>
            </w:pPr>
            <w:r>
              <w:t xml:space="preserve">Fascicles, endoneurium and perineurium, no ganglion somata</w:t>
            </w:r>
          </w:p>
        </w:tc>
        <w:tc>
          <w:tcPr/>
          <w:p>
            <w:pPr>
              <w:pStyle w:val="Compact"/>
            </w:pPr>
            <w:r>
              <w:t xml:space="preserve">Peripheral nerve</w:t>
            </w:r>
          </w:p>
        </w:tc>
        <w:tc>
          <w:tcPr/>
          <w:p>
            <w:pPr>
              <w:pStyle w:val="Compact"/>
            </w:pPr>
            <w:r>
              <w:t xml:space="preserve">Nodes of Ranvier may not be visible in routine H&amp;E</w:t>
            </w:r>
          </w:p>
        </w:tc>
      </w:tr>
      <w:tr>
        <w:tc>
          <w:tcPr/>
          <w:p>
            <w:pPr>
              <w:pStyle w:val="Compact"/>
            </w:pPr>
            <w:r>
              <w:t xml:space="preserve">White matter rich in myelinated fibers and glial nuclei</w:t>
            </w:r>
          </w:p>
        </w:tc>
        <w:tc>
          <w:tcPr/>
          <w:p>
            <w:pPr>
              <w:pStyle w:val="Compact"/>
            </w:pPr>
            <w:r>
              <w:t xml:space="preserve">CNS tract</w:t>
            </w:r>
          </w:p>
        </w:tc>
        <w:tc>
          <w:tcPr/>
          <w:p>
            <w:pPr>
              <w:pStyle w:val="Compact"/>
            </w:pPr>
            <w:r>
              <w:t xml:space="preserve">Specific glial classes may require special stains</w:t>
            </w:r>
          </w:p>
        </w:tc>
      </w:tr>
    </w:tbl>
    <w:p>
      <w:pPr>
        <w:pStyle w:val="BodyText"/>
      </w:pPr>
      <w:r>
        <w:rPr>
          <w:b/>
          <w:bCs/>
        </w:rPr>
        <w:t xml:space="preserve">Do not over-identify.</w:t>
      </w:r>
      <w:r>
        <w:t xml:space="preserve"> </w:t>
      </w:r>
      <w:r>
        <w:t xml:space="preserve">Small, dark glial nuclei in H&amp;E usually cannot be assigned confidently to a particular glial class on nuclear appearance alone; cell-specific immunostains or ultrastructural evidence may be necessary.</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can regenerate to a limited extent from</w:t>
      </w:r>
      <w:r>
        <w:t xml:space="preserve"> </w:t>
      </w:r>
      <w:r>
        <w:rPr>
          <w:b/>
          <w:bCs/>
        </w:rPr>
        <w:t xml:space="preserve">satellite cells</w:t>
      </w:r>
      <w:r>
        <w:t xml:space="preserve">; preserved basal-lamina and extracellular-matrix scaffolds favor aligned repair, whereas extensive destruction promotes fibrosis.</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regeneration depends on</w:t>
      </w:r>
      <w:r>
        <w:t xml:space="preserve"> </w:t>
      </w:r>
      <w:r>
        <w:rPr>
          <w:b/>
          <w:bCs/>
        </w:rPr>
        <w:t xml:space="preserve">satellite cells</w:t>
      </w:r>
      <w:r>
        <w:t xml:space="preserve"> </w:t>
      </w:r>
      <w:r>
        <w:t xml:space="preserve">and is more effective when extracellular-matrix scaffolds are preserved.</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Plasma consists mainly of water and dissolved proteins, electrolytes, nutrients, hormones, and waste. The</w:t>
      </w:r>
      <w:r>
        <w:t xml:space="preserve"> </w:t>
      </w:r>
      <w:r>
        <w:rPr>
          <w:b/>
          <w:bCs/>
        </w:rPr>
        <w:t xml:space="preserve">liver produces most major plasma proteins</w:t>
      </w:r>
      <w:r>
        <w:t xml:space="preserve">, including albumin and fibrinogen, while</w:t>
      </w:r>
      <w:r>
        <w:t xml:space="preserve"> </w:t>
      </w:r>
      <w:r>
        <w:rPr>
          <w:b/>
          <w:bCs/>
        </w:rPr>
        <w:t xml:space="preserve">plasma cells produce immunoglobulins</w:t>
      </w:r>
      <w:r>
        <w:t xml:space="preserve">; some complement and other circulating proteins also have extrahepatic sources.</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p>
      <w:pPr>
        <w:pStyle w:val="BodyText"/>
      </w:pPr>
      <w:r>
        <w:rPr>
          <w:b/>
          <w:bCs/>
        </w:rPr>
        <w:t xml:space="preserve">Slide identification drill.</w:t>
      </w:r>
      <w:r>
        <w:t xml:space="preserve"> </w:t>
      </w:r>
      <w:r>
        <w:t xml:space="preserve">First scan a well-stained monolayer in which erythrocytes are close together without excessive overlap. Choose 100 leukocytes across representative fields, classify each by</w:t>
      </w:r>
      <w:r>
        <w:t xml:space="preserve"> </w:t>
      </w:r>
      <w:r>
        <w:rPr>
          <w:b/>
          <w:bCs/>
        </w:rPr>
        <w:t xml:space="preserve">nuclear shape, cytoplasmic proportion and granule appearance</w:t>
      </w:r>
      <w:r>
        <w:t xml:space="preserve">, and record your uncertainty rather than assigning a cell by color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Unknown field</w:t>
            </w:r>
          </w:p>
        </w:tc>
        <w:tc>
          <w:tcPr/>
          <w:p>
            <w:pPr>
              <w:pStyle w:val="Compact"/>
            </w:pPr>
            <w:r>
              <w:t xml:space="preserve">Observation</w:t>
            </w:r>
          </w:p>
        </w:tc>
        <w:tc>
          <w:tcPr/>
          <w:p>
            <w:pPr>
              <w:pStyle w:val="Compact"/>
            </w:pPr>
            <w:r>
              <w:t xml:space="preserve">Reasoned identification</w:t>
            </w:r>
          </w:p>
        </w:tc>
      </w:tr>
      <w:tr>
        <w:tc>
          <w:tcPr/>
          <w:p>
            <w:pPr>
              <w:pStyle w:val="Compact"/>
            </w:pPr>
            <w:r>
              <w:t xml:space="preserve">A</w:t>
            </w:r>
          </w:p>
        </w:tc>
        <w:tc>
          <w:tcPr/>
          <w:p>
            <w:pPr>
              <w:pStyle w:val="Compact"/>
            </w:pPr>
            <w:r>
              <w:t xml:space="preserve">A bilobed nucleus with abundant conspicuous orange-red granules</w:t>
            </w:r>
          </w:p>
        </w:tc>
        <w:tc>
          <w:tcPr/>
          <w:p>
            <w:pPr>
              <w:pStyle w:val="Compact"/>
            </w:pPr>
            <w:r>
              <w:rPr>
                <w:b/>
                <w:bCs/>
              </w:rPr>
              <w:t xml:space="preserve">Eosinophil</w:t>
            </w:r>
          </w:p>
        </w:tc>
      </w:tr>
      <w:tr>
        <w:tc>
          <w:tcPr/>
          <w:p>
            <w:pPr>
              <w:pStyle w:val="Compact"/>
            </w:pPr>
            <w:r>
              <w:t xml:space="preserve">B</w:t>
            </w:r>
          </w:p>
        </w:tc>
        <w:tc>
          <w:tcPr/>
          <w:p>
            <w:pPr>
              <w:pStyle w:val="Compact"/>
            </w:pPr>
            <w:r>
              <w:t xml:space="preserve">Dense deep-purple cytoplasmic granules that partly hide the nucleus</w:t>
            </w:r>
          </w:p>
        </w:tc>
        <w:tc>
          <w:tcPr/>
          <w:p>
            <w:pPr>
              <w:pStyle w:val="Compact"/>
            </w:pPr>
            <w:r>
              <w:rPr>
                <w:b/>
                <w:bCs/>
              </w:rPr>
              <w:t xml:space="preserve">Basophil</w:t>
            </w:r>
          </w:p>
        </w:tc>
      </w:tr>
      <w:tr>
        <w:tc>
          <w:tcPr/>
          <w:p>
            <w:pPr>
              <w:pStyle w:val="Compact"/>
            </w:pPr>
            <w:r>
              <w:t xml:space="preserve">C</w:t>
            </w:r>
          </w:p>
        </w:tc>
        <w:tc>
          <w:tcPr/>
          <w:p>
            <w:pPr>
              <w:pStyle w:val="Compact"/>
            </w:pPr>
            <w:r>
              <w:t xml:space="preserve">A large cell with folded or kidney-shaped nucleus and blue-gray cytoplasm</w:t>
            </w:r>
          </w:p>
        </w:tc>
        <w:tc>
          <w:tcPr/>
          <w:p>
            <w:pPr>
              <w:pStyle w:val="Compact"/>
            </w:pPr>
            <w:r>
              <w:rPr>
                <w:b/>
                <w:bCs/>
              </w:rPr>
              <w:t xml:space="preserve">Monocyte</w:t>
            </w:r>
          </w:p>
        </w:tc>
      </w:tr>
      <w:tr>
        <w:tc>
          <w:tcPr/>
          <w:p>
            <w:pPr>
              <w:pStyle w:val="Compact"/>
            </w:pPr>
            <w:r>
              <w:t xml:space="preserve">D</w:t>
            </w:r>
          </w:p>
        </w:tc>
        <w:tc>
          <w:tcPr/>
          <w:p>
            <w:pPr>
              <w:pStyle w:val="Compact"/>
            </w:pPr>
            <w:r>
              <w:t xml:space="preserve">Multiple separated nuclear lobes, pale cytoplasm and fine granules</w:t>
            </w:r>
          </w:p>
        </w:tc>
        <w:tc>
          <w:tcPr/>
          <w:p>
            <w:pPr>
              <w:pStyle w:val="Compact"/>
            </w:pPr>
            <w:r>
              <w:rPr>
                <w:b/>
                <w:bCs/>
              </w:rPr>
              <w:t xml:space="preserve">Neutrophil</w:t>
            </w:r>
          </w:p>
        </w:tc>
      </w:tr>
    </w:tbl>
    <w:p>
      <w:pPr>
        <w:pStyle w:val="BodyText"/>
      </w:pPr>
      <w:r>
        <w:rPr>
          <w:b/>
          <w:bCs/>
        </w:rPr>
        <w:t xml:space="preserve">Quality-control question.</w:t>
      </w:r>
      <w:r>
        <w:t xml:space="preserve"> </w:t>
      </w:r>
      <w:r>
        <w:t xml:space="preserve">A dark purple speck beside an erythrocyte might be a platelet, stain precipitate or an artifact. Check size, sharpness, field repetition and nearby intact cells before reporting a platelet count. The exercise trains recognition; clinical interpretation requires a validated differential and appropriate laboratory context.</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expressed chiefly by</w:t>
      </w:r>
      <w:r>
        <w:t xml:space="preserve"> </w:t>
      </w:r>
      <w:r>
        <w:rPr>
          <w:b/>
          <w:bCs/>
        </w:rPr>
        <w:t xml:space="preserve">professional antigen-presenting cells</w:t>
      </w:r>
      <w:r>
        <w:t xml:space="preserve"> </w:t>
      </w:r>
      <w:r>
        <w:t xml:space="preserve">(dendritic cells, macrophages, B lymphocytes) and also by specialized cells such as thymic epithelial cells; expression can be induced in other cells during inflammation. It commonly presents peptides from extracellular proteins processed in endosomal compartments, including</w:t>
      </w:r>
      <w:r>
        <w:t xml:space="preserve"> </w:t>
      </w:r>
      <w:r>
        <w:rPr>
          <w:b/>
          <w:bCs/>
        </w:rPr>
        <w:t xml:space="preserve">self as well as foreign antigens</w:t>
      </w:r>
      <w:r>
        <w:t xml:space="preserve">, to</w:t>
      </w:r>
      <w:r>
        <w:t xml:space="preserve"> </w:t>
      </w:r>
      <w:r>
        <w:rPr>
          <w:b/>
          <w:bCs/>
        </w:rPr>
        <w:t xml:space="preserve">CD4⁺ T cells</w:t>
      </w:r>
      <w:r>
        <w:t xml:space="preserve">. The distinction from MHC I is useful but not absolute, because cross-presentation and other processing routes exist.</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Splenic and hepatic macrophages break down senescent erythrocyte hemoglobin. Heme oxygenase releases iron for storage in ferritin or export through ferroportin; circulating iron binds transferrin for reuse in erythropoiesis. The heme ring is catabolized to biliverdin and then bilirubin for hepatic processing and biliary excretion.</w:t>
      </w:r>
      <w:r>
        <w:t xml:space="preserve"> </w:t>
      </w:r>
      <w:r>
        <w:rPr>
          <w:b/>
          <w:bCs/>
        </w:rPr>
        <w:t xml:space="preserve">Hemopexin binds free heme in plasma</w:t>
      </w:r>
      <w:r>
        <w:t xml:space="preserve"> </w:t>
      </w:r>
      <w:r>
        <w:t xml:space="preserve">to limit heme toxicity; it is not the carrier required for every intracellular heme-degradation reaction.</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expressed mainly on</w:t>
      </w:r>
      <w:r>
        <w:t xml:space="preserve"> </w:t>
      </w:r>
      <w:r>
        <w:rPr>
          <w:b/>
          <w:bCs/>
        </w:rPr>
        <w:t xml:space="preserve">dendritic cells, macrophages and B cells</w:t>
      </w:r>
      <w:r>
        <w:t xml:space="preserve">, with additional specialized or inducible expression; it presents processed peptides to</w:t>
      </w:r>
      <w:r>
        <w:t xml:space="preserve"> </w:t>
      </w:r>
      <w:r>
        <w:rPr>
          <w:b/>
          <w:bCs/>
        </w:rPr>
        <w:t xml:space="preserve">CD4⁺</w:t>
      </w:r>
      <w:r>
        <w:t xml:space="preserve"> </w:t>
      </w:r>
      <w:r>
        <w:t xml:space="preserve">T 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typically present peptides on MHC II?</w:t>
      </w:r>
      <w:r>
        <w:t xml:space="preserve"> </w:t>
      </w:r>
      <w:r>
        <w:t xml:space="preserve">— Professional antigen-presenting cells: dendritic cells, macrophages, and B cells; thymic epithelial cells also present peptides during T-cell selection.</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p>
      <w:pPr>
        <w:pStyle w:val="BodyText"/>
      </w:pPr>
      <w:r>
        <w:rPr>
          <w:b/>
          <w:bCs/>
        </w:rPr>
        <w:t xml:space="preserve">Ovarian-slide staging drill.</w:t>
      </w:r>
      <w:r>
        <w:t xml:space="preserve"> </w:t>
      </w:r>
      <w:r>
        <w:t xml:space="preserve">A small cortical follicle with a single layer of</w:t>
      </w:r>
      <w:r>
        <w:t xml:space="preserve"> </w:t>
      </w:r>
      <w:r>
        <w:rPr>
          <w:b/>
          <w:bCs/>
        </w:rPr>
        <w:t xml:space="preserve">flattened follicular cells</w:t>
      </w:r>
      <w:r>
        <w:t xml:space="preserve"> </w:t>
      </w:r>
      <w:r>
        <w:t xml:space="preserve">is primordial. A growing follicle with a larger oocyte, a zona pellucida and</w:t>
      </w:r>
      <w:r>
        <w:t xml:space="preserve"> </w:t>
      </w:r>
      <w:r>
        <w:rPr>
          <w:b/>
          <w:bCs/>
        </w:rPr>
        <w:t xml:space="preserve">cuboidal granulosa cells</w:t>
      </w:r>
      <w:r>
        <w:t xml:space="preserve"> </w:t>
      </w:r>
      <w:r>
        <w:t xml:space="preserve">is primary. A conspicuous fluid-filled</w:t>
      </w:r>
      <w:r>
        <w:t xml:space="preserve"> </w:t>
      </w:r>
      <w:r>
        <w:rPr>
          <w:b/>
          <w:bCs/>
        </w:rPr>
        <w:t xml:space="preserve">antrum</w:t>
      </w:r>
      <w:r>
        <w:t xml:space="preserve"> </w:t>
      </w:r>
      <w:r>
        <w:t xml:space="preserve">identifies an antral follicle. After ovulation, a richly vascular folded mass of enlarged steroid-secreting cells identifies a</w:t>
      </w:r>
      <w:r>
        <w:t xml:space="preserve"> </w:t>
      </w:r>
      <w:r>
        <w:rPr>
          <w:b/>
          <w:bCs/>
        </w:rPr>
        <w:t xml:space="preserve">corpus luteum</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Unlabeled sample</w:t>
            </w:r>
          </w:p>
        </w:tc>
        <w:tc>
          <w:tcPr/>
          <w:p>
            <w:pPr>
              <w:pStyle w:val="Compact"/>
            </w:pPr>
            <w:r>
              <w:t xml:space="preserve">Best supporting observation</w:t>
            </w:r>
          </w:p>
        </w:tc>
        <w:tc>
          <w:tcPr/>
          <w:p>
            <w:pPr>
              <w:pStyle w:val="Compact"/>
            </w:pPr>
            <w:r>
              <w:t xml:space="preserve">Most likely identity</w:t>
            </w:r>
          </w:p>
        </w:tc>
      </w:tr>
      <w:tr>
        <w:tc>
          <w:tcPr/>
          <w:p>
            <w:pPr>
              <w:pStyle w:val="Compact"/>
            </w:pPr>
            <w:r>
              <w:t xml:space="preserve">Oocyte beneath one flattened-cell layer</w:t>
            </w:r>
          </w:p>
        </w:tc>
        <w:tc>
          <w:tcPr/>
          <w:p>
            <w:pPr>
              <w:pStyle w:val="Compact"/>
            </w:pPr>
            <w:r>
              <w:t xml:space="preserve">No antrum, very small follicle</w:t>
            </w:r>
          </w:p>
        </w:tc>
        <w:tc>
          <w:tcPr/>
          <w:p>
            <w:pPr>
              <w:pStyle w:val="Compact"/>
            </w:pPr>
            <w:r>
              <w:t xml:space="preserve">Primordial follicle</w:t>
            </w:r>
          </w:p>
        </w:tc>
      </w:tr>
      <w:tr>
        <w:tc>
          <w:tcPr/>
          <w:p>
            <w:pPr>
              <w:pStyle w:val="Compact"/>
            </w:pPr>
            <w:r>
              <w:t xml:space="preserve">Multiple granulosa layers with a forming fluid cavity</w:t>
            </w:r>
          </w:p>
        </w:tc>
        <w:tc>
          <w:tcPr/>
          <w:p>
            <w:pPr>
              <w:pStyle w:val="Compact"/>
            </w:pPr>
            <w:r>
              <w:t xml:space="preserve">Antrum appears and theca differentiates</w:t>
            </w:r>
          </w:p>
        </w:tc>
        <w:tc>
          <w:tcPr/>
          <w:p>
            <w:pPr>
              <w:pStyle w:val="Compact"/>
            </w:pPr>
            <w:r>
              <w:t xml:space="preserve">Antral (secondary) follicle</w:t>
            </w:r>
          </w:p>
        </w:tc>
      </w:tr>
      <w:tr>
        <w:tc>
          <w:tcPr/>
          <w:p>
            <w:pPr>
              <w:pStyle w:val="Compact"/>
            </w:pPr>
            <w:r>
              <w:t xml:space="preserve">Large eosinophilic lutein cells in vascular folds</w:t>
            </w:r>
          </w:p>
        </w:tc>
        <w:tc>
          <w:tcPr/>
          <w:p>
            <w:pPr>
              <w:pStyle w:val="Compact"/>
            </w:pPr>
            <w:r>
              <w:t xml:space="preserve">No intact oocyte or follicular antrum</w:t>
            </w:r>
          </w:p>
        </w:tc>
        <w:tc>
          <w:tcPr/>
          <w:p>
            <w:pPr>
              <w:pStyle w:val="Compact"/>
            </w:pPr>
            <w:r>
              <w:t xml:space="preserve">Corpus luteum</w:t>
            </w:r>
          </w:p>
        </w:tc>
      </w:tr>
      <w:tr>
        <w:tc>
          <w:tcPr/>
          <w:p>
            <w:pPr>
              <w:pStyle w:val="Compact"/>
            </w:pPr>
            <w:r>
              <w:t xml:space="preserve">Endometrial glands are tortuous with luminal secretion</w:t>
            </w:r>
          </w:p>
        </w:tc>
        <w:tc>
          <w:tcPr/>
          <w:p>
            <w:pPr>
              <w:pStyle w:val="Compact"/>
            </w:pPr>
            <w:r>
              <w:t xml:space="preserve">Stromal edema and progesterone effect</w:t>
            </w:r>
          </w:p>
        </w:tc>
        <w:tc>
          <w:tcPr/>
          <w:p>
            <w:pPr>
              <w:pStyle w:val="Compact"/>
            </w:pPr>
            <w:r>
              <w:t xml:space="preserve">Secretory endometrium</w:t>
            </w:r>
          </w:p>
        </w:tc>
      </w:tr>
    </w:tbl>
    <w:p>
      <w:pPr>
        <w:pStyle w:val="BodyText"/>
      </w:pPr>
      <w:r>
        <w:rPr>
          <w:b/>
          <w:bCs/>
        </w:rPr>
        <w:t xml:space="preserve">Microscopy caution.</w:t>
      </w:r>
      <w:r>
        <w:t xml:space="preserve"> </w:t>
      </w:r>
      <w:r>
        <w:t xml:space="preserve">Small tissue fragments and oblique sections can omit the diagnostic region. A single gland or follicle must not be used as the only basis for assigning an entire organ’s stage.</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3"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book is a synthesis of standard histology, and its facts belong to the common scientific literature rather than to any single work. The first work below is the one against which the text was principally checked; the others are standard references offered for deeper reading and were not used as verification sources. Editions of the further-reading works are not listed: use the current edition of each. The principal reference is cited with its edition, because every check was made against that edition.</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Selected scientific reading for core distinctions</w:t>
      </w:r>
    </w:p>
    <w:p>
      <w:pPr>
        <w:pStyle w:val="Compact"/>
        <w:numPr>
          <w:ilvl w:val="0"/>
          <w:numId w:val="1146"/>
        </w:numPr>
      </w:pPr>
      <w:r>
        <w:t xml:space="preserve">Aiuti A, Scala S, Chabannon C. Biological properties of hematopoietic stem cells. In:</w:t>
      </w:r>
      <w:r>
        <w:t xml:space="preserve"> </w:t>
      </w:r>
      <w:r>
        <w:rPr>
          <w:i/>
          <w:iCs/>
        </w:rPr>
        <w:t xml:space="preserve">The EBMT Handbook</w:t>
      </w:r>
      <w:r>
        <w:t xml:space="preserve">, 8th ed. Springer; 2024. doi:10.1007/978-3-031-44080-9_7. The hematopoietic stem cell is multipotent; CD34 is an enrichment marker, not a definition of functional stemness.</w:t>
      </w:r>
    </w:p>
    <w:p>
      <w:pPr>
        <w:pStyle w:val="Compact"/>
        <w:numPr>
          <w:ilvl w:val="0"/>
          <w:numId w:val="1146"/>
        </w:numPr>
      </w:pPr>
      <w:r>
        <w:t xml:space="preserve">Purves D, et al. </w:t>
      </w:r>
      <w:r>
        <w:rPr>
          <w:i/>
          <w:iCs/>
        </w:rPr>
        <w:t xml:space="preserve">Neuroscience</w:t>
      </w:r>
      <w:r>
        <w:t xml:space="preserve">, 2nd ed. The distribution of rods and cones in the human retina. NCBI Bookshelf, NBK10848. The central foveola is rod-free, while the broader foveal region includes peripheral rods.</w:t>
      </w:r>
    </w:p>
    <w:p>
      <w:pPr>
        <w:pStyle w:val="Compact"/>
        <w:numPr>
          <w:ilvl w:val="0"/>
          <w:numId w:val="1146"/>
        </w:numPr>
      </w:pPr>
      <w:r>
        <w:t xml:space="preserve">Watanabe N, Wang Y-H, Lee HK, et al. Hassall’s corpuscles instruct dendritic cells to induce CD4+CD25+ regulatory T cells in human thymus.</w:t>
      </w:r>
      <w:r>
        <w:t xml:space="preserve"> </w:t>
      </w:r>
      <w:r>
        <w:rPr>
          <w:i/>
          <w:iCs/>
        </w:rPr>
        <w:t xml:space="preserve">Nature</w:t>
      </w:r>
      <w:r>
        <w:t xml:space="preserve">. 2005;436:1181–1185. doi:10.1038/nature03886. These structures have studied signaling functions in addition to their familiar microscopic appearance.</w:t>
      </w:r>
    </w:p>
    <w:p>
      <w:pPr>
        <w:pStyle w:val="Compact"/>
        <w:numPr>
          <w:ilvl w:val="0"/>
          <w:numId w:val="1146"/>
        </w:numPr>
      </w:pPr>
      <w:r>
        <w:rPr>
          <w:i/>
          <w:iCs/>
        </w:rPr>
        <w:t xml:space="preserve">Regulation of the Germinal Center Response</w:t>
      </w:r>
      <w:r>
        <w:t xml:space="preserve">. PMID:30410492 (2018). Germinal centers select B cells and generate antibody-secreting cells and memory B cells in cooperation with follicular helper T cells.</w:t>
      </w:r>
    </w:p>
    <w:p>
      <w:pPr>
        <w:pStyle w:val="Compact"/>
        <w:numPr>
          <w:ilvl w:val="0"/>
          <w:numId w:val="1146"/>
        </w:numPr>
      </w:pPr>
      <w:r>
        <w:rPr>
          <w:i/>
          <w:iCs/>
        </w:rPr>
        <w:t xml:space="preserve">Anatomy, Head and Neck, Palatine Tonsil</w:t>
      </w:r>
      <w:r>
        <w:t xml:space="preserve">. StatPearls; 2023. NCBI Bookshelf NBK538296. Tonsils sample surface antigens and normally lack afferent lymphatic vessels.</w:t>
      </w:r>
    </w:p>
    <w:p>
      <w:pPr>
        <w:pStyle w:val="FirstParagraph"/>
      </w:pPr>
      <w:r>
        <w:rPr>
          <w:b/>
          <w:bCs/>
        </w:rPr>
        <w:t xml:space="preserve">How the content was checked.</w:t>
      </w:r>
      <w:r>
        <w:t xml:space="preserve"> </w:t>
      </w:r>
      <w:r>
        <w:t xml:space="preserve">Numerical values, structural descriptions and named cell types were compared with the principal reference; where standard accounts give different ranges or counts, the text gives the range or says which value is being used. Mechanisms and clinical correlations were reasoned through for consistency with standard physiology and pathology rather than checked against a second text. No claim is made that every sentence was individually verified, and no reference is cited for a statement it does not contain.</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End w:id="373"/>
    <w:bookmarkStart w:id="386" w:name="part-vii-practice-examination"/>
    <w:p>
      <w:pPr>
        <w:pStyle w:val="Heading1"/>
        <w:pageBreakBefore/>
      </w:pPr>
      <w:r>
        <w:t xml:space="preserve">PART VII — PRACTICE EXAMINATION</w:t>
      </w:r>
    </w:p>
    <w:bookmarkStart w:id="383"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4"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4"/>
    <w:bookmarkStart w:id="375"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A folded urinary-tract mucosa has several layers and large dome-shaped umbrella cells at its free surface. Which epithelium is present?</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A tendon section shows parallel collagen bundles and elongated fibroblast nuclei aligned with tensile forces. 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5"/>
    <w:bookmarkStart w:id="376" w:name="nerve-and-muscle-3344"/>
    <w:p>
      <w:pPr>
        <w:pStyle w:val="Heading3"/>
      </w:pPr>
      <w:r>
        <w:t xml:space="preserve">Nerve and muscle (33–44)</w:t>
      </w:r>
    </w:p>
    <w:p>
      <w:pPr>
        <w:pStyle w:val="FirstParagraph"/>
      </w:pPr>
      <w:r>
        <w:rPr>
          <w:b/>
          <w:bCs/>
        </w:rPr>
        <w:t xml:space="preserve">33.</w:t>
      </w:r>
      <w:r>
        <w:t xml:space="preserve"> </w:t>
      </w:r>
      <w:r>
        <w:t xml:space="preserve">A large motor-neuron cell body has prominent basophilic cytoplasmic granules absent from the axon hillock. These 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Electron microscopy of CNS white matter shows several axon segments myelinated by processes from one glial cell. Which cell is responsible?</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76"/>
    <w:bookmarkStart w:id="377"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A peripheral-blood smear shows a large leukocyte with blue-gray cytoplasm and an indented kidney-shaped nucleus. Identify the cell:</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A lobulated lymphoid organ has dark cortical regions and pale medullae with concentric epithelial whorls (Hassall corpuscles). Which organ is this?</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77"/>
    <w:bookmarkStart w:id="378"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A small-intestinal section contains villi and pale mucous glands deep in the submucosa. These Brunner glands identify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A small-intestinal specimen shows villi and a large aggregate of lymphoid follicles extending toward the submucosa. Peyer’s patches favor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A digestive-tract section shows thick nonkeratinized stratified squamous epithelium and submucosal mucous glands. 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78"/>
    <w:bookmarkStart w:id="379" w:name="respiratory-system-and-skin-7382"/>
    <w:p>
      <w:pPr>
        <w:pStyle w:val="Heading3"/>
      </w:pPr>
      <w:r>
        <w:t xml:space="preserve">Respiratory system and skin (73–82)</w:t>
      </w:r>
    </w:p>
    <w:p>
      <w:pPr>
        <w:pStyle w:val="FirstParagraph"/>
      </w:pPr>
      <w:r>
        <w:rPr>
          <w:b/>
          <w:bCs/>
        </w:rPr>
        <w:t xml:space="preserve">73.</w:t>
      </w:r>
      <w:r>
        <w:t xml:space="preserve"> </w:t>
      </w:r>
      <w:r>
        <w:t xml:space="preserve">Electron microscopy identifies a cuboidal alveolar epithelial cell containing lamellar bodies beside attenuated type I cells. 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A section from the palm shows a translucent epidermal layer between the granular layer and a prominent stratum corneum. This layer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A small encapsulated ovoid mechanoreceptor lies in a dermal papilla of glabrous fingertip skin. Which receptor supports fine tactile discrimination?</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79"/>
    <w:bookmarkStart w:id="380" w:name="urinary-and-endocrine-8392"/>
    <w:p>
      <w:pPr>
        <w:pStyle w:val="Heading3"/>
      </w:pPr>
      <w:r>
        <w:t xml:space="preserve">Urinary and endocrine (83–92)</w:t>
      </w:r>
    </w:p>
    <w:p>
      <w:pPr>
        <w:pStyle w:val="FirstParagraph"/>
      </w:pPr>
      <w:r>
        <w:rPr>
          <w:b/>
          <w:bCs/>
        </w:rPr>
        <w:t xml:space="preserve">83.</w:t>
      </w:r>
      <w:r>
        <w:t xml:space="preserve"> </w:t>
      </w:r>
      <w:r>
        <w:t xml:space="preserve">Electron microscopy of a renal corpuscle shows diaphragms bridging filtration slits between interdigitating podocyte foot processes. A key protein in these diaphragms is: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In renal cortex, a tubule has strongly eosinophilic cytoplasm and a fuzzy, poorly defined lumen owing to its brush border. Which segment is this?</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A gland contains rounded follicles filled with colloid and surrounded by a single epithelial layer. Thyroid follicles are normally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Neurosecretory axons from the hypothalamus show local dilations packed with hormone-containing granules (Herring bodies). They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0"/>
    <w:bookmarkStart w:id="381"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After ovulation a highly vascular temporary endocrine body composed of luteinized follicular cells forms in the ovary. 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A cochlear section shows inner and outer receptor cells with stereocilia above the basilar membrane. The transducing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1"/>
    <w:bookmarkStart w:id="382" w:name="before-consulting-the-answer-key"/>
    <w:p>
      <w:pPr>
        <w:pStyle w:val="Heading3"/>
      </w:pPr>
      <w:r>
        <w:t xml:space="preserve">Before consulting the answer key</w:t>
      </w:r>
    </w:p>
    <w:p>
      <w:pPr>
        <w:pStyle w:val="FirstParagraph"/>
      </w:pPr>
      <w:r>
        <w:t xml:space="preserve">This examination is a</w:t>
      </w:r>
      <w:r>
        <w:t xml:space="preserve"> </w:t>
      </w:r>
      <w:r>
        <w:rPr>
          <w:i/>
          <w:iCs/>
        </w:rPr>
        <w:t xml:space="preserve">retrieval and interpretation exercise</w:t>
      </w:r>
      <w:r>
        <w:t xml:space="preserve">, not a prediction of performance on a formal medical examination. Review the 100 questions once</w:t>
      </w:r>
      <w:r>
        <w:t xml:space="preserve"> </w:t>
      </w:r>
      <w:r>
        <w:rPr>
          <w:b/>
          <w:bCs/>
        </w:rPr>
        <w:t xml:space="preserve">without looking at the answers</w:t>
      </w:r>
      <w:r>
        <w:t xml:space="preserve">. For each uncertain item, name the observation that would distinguish your chosen option from the closest alternative.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 you can state</w:t>
            </w:r>
          </w:p>
        </w:tc>
        <w:tc>
          <w:tcPr/>
          <w:p>
            <w:pPr>
              <w:pStyle w:val="Compact"/>
            </w:pPr>
            <w:r>
              <w:t xml:space="preserve">What to do before marking the answer</w:t>
            </w:r>
          </w:p>
        </w:tc>
      </w:tr>
      <w:tr>
        <w:tc>
          <w:tcPr/>
          <w:p>
            <w:pPr>
              <w:pStyle w:val="Compact"/>
            </w:pPr>
            <w:r>
              <w:t xml:space="preserve">A tissue layer or glandular feature</w:t>
            </w:r>
          </w:p>
        </w:tc>
        <w:tc>
          <w:tcPr/>
          <w:p>
            <w:pPr>
              <w:pStyle w:val="Compact"/>
            </w:pPr>
            <w:r>
              <w:t xml:space="preserve">Say which organ or tissue it identifies and why</w:t>
            </w:r>
          </w:p>
        </w:tc>
      </w:tr>
      <w:tr>
        <w:tc>
          <w:tcPr/>
          <w:p>
            <w:pPr>
              <w:pStyle w:val="Compact"/>
            </w:pPr>
            <w:r>
              <w:t xml:space="preserve">A cell morphology or special stain</w:t>
            </w:r>
          </w:p>
        </w:tc>
        <w:tc>
          <w:tcPr/>
          <w:p>
            <w:pPr>
              <w:pStyle w:val="Compact"/>
            </w:pPr>
            <w:r>
              <w:t xml:space="preserve">Explain what else could produce a similar appearance</w:t>
            </w:r>
          </w:p>
        </w:tc>
      </w:tr>
      <w:tr>
        <w:tc>
          <w:tcPr/>
          <w:p>
            <w:pPr>
              <w:pStyle w:val="Compact"/>
            </w:pPr>
            <w:r>
              <w:t xml:space="preserve">A physiological or ultrastructural mechanism</w:t>
            </w:r>
          </w:p>
        </w:tc>
        <w:tc>
          <w:tcPr/>
          <w:p>
            <w:pPr>
              <w:pStyle w:val="Compact"/>
            </w:pPr>
            <w:r>
              <w:t xml:space="preserve">Link the named structure to its function</w:t>
            </w:r>
          </w:p>
        </w:tc>
      </w:tr>
      <w:tr>
        <w:tc>
          <w:tcPr/>
          <w:p>
            <w:pPr>
              <w:pStyle w:val="Compact"/>
            </w:pPr>
            <w:r>
              <w:t xml:space="preserve">No clear distinguishing evidence</w:t>
            </w:r>
          </w:p>
        </w:tc>
        <w:tc>
          <w:tcPr/>
          <w:p>
            <w:pPr>
              <w:pStyle w:val="Compact"/>
            </w:pPr>
            <w:r>
              <w:t xml:space="preserve">Mark the answer as uncertain and record the topic for revision</w:t>
            </w:r>
          </w:p>
        </w:tc>
      </w:tr>
    </w:tbl>
    <w:p>
      <w:pPr>
        <w:pStyle w:val="BodyText"/>
      </w:pPr>
      <w:r>
        <w:rPr>
          <w:b/>
          <w:bCs/>
        </w:rPr>
        <w:t xml:space="preserve">Confidence audit.</w:t>
      </w:r>
      <w:r>
        <w:t xml:space="preserve"> </w:t>
      </w:r>
      <w:r>
        <w:t xml:space="preserve">Count not only wrong answers but also</w:t>
      </w:r>
      <w:r>
        <w:t xml:space="preserve"> </w:t>
      </w:r>
      <w:r>
        <w:rPr>
          <w:i/>
          <w:iCs/>
        </w:rPr>
        <w:t xml:space="preserve">correct guesses</w:t>
      </w:r>
      <w:r>
        <w:t xml:space="preserve">. Revisit their corresponding chapters and identify the exact missing observation. Then return to the clinical and practical-identification questions after a delay. The purpose is to reduce guessing while improving the ability to interpret unfamiliar histology sections.</w:t>
      </w:r>
    </w:p>
    <w:bookmarkEnd w:id="382"/>
    <w:bookmarkEnd w:id="383"/>
    <w:bookmarkStart w:id="384"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4"/>
    <w:bookmarkStart w:id="385"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5"/>
    <w:bookmarkEnd w:id="3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2026-10-22T19:48:43Z</dcterms:created>
  <dcterms:modified xsi:type="dcterms:W3CDTF">2026-10-22T19:48:43Z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