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ریه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ریه،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بلند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ریه)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ریه،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ریه؛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 از متن رهنمود خوانده 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حداکثر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حداکثر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حداکثر ۲۰ mcg/min</w:t>
            </w:r>
            <w:r>
              <w:rPr>
                <w:rFonts w:ascii="Vazirmatn" w:hAnsi="Vazirmatn"/>
                <w:sz w:val="18"/>
              </w:rPr>
              <w:t xml:space="preserve"> در این جدول (دوز Nitroglycerin در ادیمای حاد ریه ناشی از عدم کفایهٔ قلب → فصل ۷)</w:t>
            </w:r>
          </w:p>
        </w:tc>
        <w:tc>
          <w:tcPr>
            <w:tcW w:type="dxa" w:w="2578"/>
          </w:tcPr>
          <w:p>
            <w:pPr>
              <w:bidi w:val="1"/>
            </w:pPr>
            <w:r>
              <w:rPr>
                <w:sz w:val="18"/>
              </w:rPr>
            </w:r>
            <w:r>
              <w:rPr>
                <w:rFonts w:ascii="Vazirmatn" w:hAnsi="Vazirmatn"/>
                <w:sz w:val="18"/>
              </w:rPr>
              <w:t>فقط در ACS یا ادیمای حاد ریه؛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حداکثر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ریه)</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ریه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حداکثر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ریهٔ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ریهٔ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پاسخ را ببین: Sodium ادرار پس از ۲ ساعت یا حجم ادرار در ۶ ساعت اول (ESC 2021). اگر پاسخ کم بود، دوز Loop را دو برابر کن؛ اگر باز هم کم بود، یک Thiazide یا Acetazolamide اضافه کن (نه دو Loop diuretic با هم).</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(Dobutamine)، Vasopressor (Noradrenaline)، و در مراکز مجهز حمایت میخانیکی دوران (فصل ۷۷)</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دوزهای شروع و هدف (ESC 2021، جدول ۸ — از متن رهنمود خوانده شد):</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۵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۲.۵–۵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۲۰–۳۵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و ARNI تحمل نشد؛ بدیل: Candesartan ۴ → ۳۲ mg OD، Valsartan ۴۰ → ۱۶۰ mg BID</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مریض پایدار و بدون احتباس مایع شروع کن</w:t>
      </w:r>
      <w:r>
        <w:rPr>
          <w:rFonts w:ascii="Vazirmatn" w:hAnsi="Vazirmatn"/>
          <w:color w:val="0F2744"/>
        </w:rPr>
        <w:t xml:space="preserve"> — دوز کم، و به‌تدریج تا دوز هدف یا حداکثر دوز قابل تحمل بالا ببر (ESC 2021). در مریض بستری با AHF، پس از پایدار شدن با احتیاط شروع شود. </w:t>
      </w:r>
      <w:r>
        <w:rPr>
          <w:rFonts w:ascii="Vazirmatn" w:hAnsi="Vazirmatn"/>
          <w:i/>
          <w:color w:val="0F2744"/>
        </w:rPr>
        <w:t>(فاصلهٔ دقیق افزایش دوز در جدول ضمیمهٔ ESC است که خوانده نشد → SD-99.)</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p>
        </w:tc>
        <w:tc>
          <w:tcPr>
            <w:tcW w:type="dxa" w:w="2578"/>
          </w:tcPr>
          <w:p>
            <w:pPr>
              <w:bidi w:val="1"/>
            </w:pPr>
            <w:r>
              <w:rPr>
                <w:sz w:val="18"/>
              </w:rPr>
            </w:r>
            <w:r>
              <w:rPr>
                <w:rFonts w:ascii="Vazirmatn" w:hAnsi="Vazirmatn"/>
                <w:sz w:val="18"/>
              </w:rPr>
              <w:t>۲۵ → 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همان؛ Gynaecomastia کمتر</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در EMPEROR-Reduced: eGFR بالاتر از ۲۰؛ کاهش خفیف eGFR در شروع متوقع است و دلیل قطع نیست</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LVEF ۳۵ فیصد یا کمتر، ریتم سینوسی و ضربان ۷۰ یا بیشتر، با وجود Beta-blocker (یا اگر Beta-blocker ممکن نیست)</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ریه</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 ACC/AHA 2025 جدول ۷ — از متن رهنمود):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یا ۶۰۰ mg</w:t>
            </w:r>
            <w:r>
              <w:rPr>
                <w:rFonts w:ascii="Vazirmatn" w:hAnsi="Vazirmatn"/>
                <w:sz w:val="18"/>
              </w:rPr>
              <w:t xml:space="preserve">؛ </w:t>
            </w:r>
            <w:r>
              <w:rPr>
                <w:rFonts w:ascii="Vazirmatn" w:hAnsi="Vazirmatn"/>
                <w:b/>
                <w:sz w:val="18"/>
              </w:rPr>
              <w:t>همراه Fibrinolysis:</w:t>
            </w:r>
            <w:r>
              <w:rPr>
                <w:rFonts w:ascii="Vazirmatn" w:hAnsi="Vazirmatn"/>
                <w:sz w:val="18"/>
              </w:rPr>
              <w:t xml:space="preserve"> ۳۰۰ mg اگر سن ۷۵ یا کمتر، </w:t>
            </w:r>
            <w:r>
              <w:rPr>
                <w:rFonts w:ascii="Vazirmatn" w:hAnsi="Vazirmatn"/>
                <w:b/>
                <w:sz w:val="18"/>
              </w:rPr>
              <w:t>۷۵ mg (بدون بارگیری)</w:t>
            </w:r>
            <w:r>
              <w:rPr>
                <w:rFonts w:ascii="Vazirmatn" w:hAnsi="Vazirmatn"/>
                <w:sz w:val="18"/>
              </w:rPr>
              <w:t xml:space="preserve"> اگر بالاتر از ۷۵</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 همراه Fibrinolysis نه</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 xml:space="preserve">سپس ۱۰ mg PO/OD — ۱۲ ماه؛ </w:t>
            </w:r>
            <w:r>
              <w:rPr>
                <w:rFonts w:ascii="Vazirmatn" w:hAnsi="Vazirmatn"/>
                <w:b/>
                <w:sz w:val="18"/>
              </w:rPr>
              <w:t>۵ mg</w:t>
            </w:r>
            <w:r>
              <w:rPr>
                <w:rFonts w:ascii="Vazirmatn" w:hAnsi="Vazirmatn"/>
                <w:sz w:val="18"/>
              </w:rPr>
              <w:t xml:space="preserve"> اگر وزن کمتر از ۶۰ kg یا سن ۷۵ یا بیشتر (با احتیاط). فقط اگر PCI می‌شود؛ در سکته/TIA سابق نه؛ همراه Fibrinolysis نه</w:t>
            </w:r>
          </w:p>
        </w:tc>
      </w:tr>
    </w:tbl>
    <w:p>
      <w:pPr>
        <w:bidi w:val="1"/>
      </w:pPr>
      <w:r>
        <w:rPr>
          <w:rFonts w:ascii="Vazirmatn" w:hAnsi="Vazirmatn"/>
          <w:b/>
        </w:rPr>
        <w:t>Anticoagulant (ACC/AHA 2025، جدول ۱۰ — از متن رهنمود خوانده 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(حداکثر ۱۰۰ mg برای دو دوز اول)؛ سن ۷۵ یا بیشتر — بدون bolus، ۰.۷۵ mg/kg SC هر ۱۲ ساعت (حداکثر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این رژیم برای وزن کمتر از ۶۷ kg است؛ وزن ۶۷ kg یا بیشتر: ۱۵ mg → ۵۰ mg در ۳۰ دقیقه → ۳۵ mg در ۶۰ دقیقه (مجموع ۱۰۰ mg) — ACC/AHA 2025 جدول ۱۳</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Fibrin-specific (TNK، Alteplase) ترجیح دارد؛ دوز SK در این نشست از منبع اولیه تأیید نشد (SD-99)</w:t>
            </w:r>
          </w:p>
        </w:tc>
      </w:tr>
    </w:tbl>
    <w:p>
      <w:pPr>
        <w:bidi w:val="1"/>
      </w:pPr>
      <w:r>
        <w:rPr>
          <w:rFonts w:ascii="Vazirmatn" w:hAnsi="Vazirmatn"/>
          <w:b/>
        </w:rPr>
        <w:t>منع‌های Fibrinolysis در STEMI (ACC/AHA 2025، جدول ۱۴ — از متن رهنمود):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منع مطلق</w:t>
            </w:r>
          </w:p>
        </w:tc>
        <w:tc>
          <w:tcPr>
            <w:tcW w:type="dxa" w:w="5156"/>
            <w:shd w:val="clear" w:fill="136f73"/>
          </w:tcPr>
          <w:p>
            <w:pPr>
              <w:bidi w:val="1"/>
            </w:pPr>
            <w:r/>
            <w:r>
              <w:rPr>
                <w:b/>
                <w:color w:val="FFFFFF"/>
                <w:sz w:val="19"/>
              </w:rPr>
              <w:t>منع نسبی</w:t>
            </w:r>
          </w:p>
        </w:tc>
      </w:tr>
      <w:tr>
        <w:tc>
          <w:tcPr>
            <w:tcW w:type="dxa" w:w="5156"/>
          </w:tcPr>
          <w:p>
            <w:pPr>
              <w:bidi w:val="1"/>
            </w:pPr>
            <w:r>
              <w:rPr>
                <w:sz w:val="18"/>
              </w:rPr>
            </w:r>
            <w:r>
              <w:rPr>
                <w:rFonts w:ascii="Vazirmatn" w:hAnsi="Vazirmatn"/>
                <w:sz w:val="18"/>
              </w:rPr>
              <w:t>آسیب ساختمانی رگ‌های مغز (مثلاً AVM)</w:t>
            </w:r>
          </w:p>
        </w:tc>
        <w:tc>
          <w:tcPr>
            <w:tcW w:type="dxa" w:w="5156"/>
          </w:tcPr>
          <w:p>
            <w:pPr>
              <w:bidi w:val="1"/>
            </w:pPr>
            <w:r>
              <w:rPr>
                <w:sz w:val="18"/>
              </w:rPr>
            </w:r>
            <w:r>
              <w:rPr>
                <w:rFonts w:ascii="Vazirmatn" w:hAnsi="Vazirmatn"/>
                <w:sz w:val="18"/>
              </w:rPr>
              <w:t>فشار بلند در وقت مراجعه (سیستولیک بالاتر از ۱۸۰ یا دیاستولیک بالاتر از ۱۱۰)</w:t>
            </w:r>
          </w:p>
        </w:tc>
      </w:tr>
      <w:tr>
        <w:tc>
          <w:tcPr>
            <w:tcW w:type="dxa" w:w="5156"/>
          </w:tcPr>
          <w:p>
            <w:pPr>
              <w:bidi w:val="1"/>
            </w:pPr>
            <w:r>
              <w:rPr>
                <w:sz w:val="18"/>
              </w:rPr>
            </w:r>
            <w:r>
              <w:rPr>
                <w:rFonts w:ascii="Vazirmatn" w:hAnsi="Vazirmatn"/>
                <w:sz w:val="18"/>
              </w:rPr>
              <w:t>تومور خبیث داخل جمجمه (اولیه یا متاستاز)</w:t>
            </w:r>
          </w:p>
        </w:tc>
        <w:tc>
          <w:tcPr>
            <w:tcW w:type="dxa" w:w="5156"/>
          </w:tcPr>
          <w:p>
            <w:pPr>
              <w:bidi w:val="1"/>
            </w:pPr>
            <w:r>
              <w:rPr>
                <w:sz w:val="18"/>
              </w:rPr>
            </w:r>
            <w:r>
              <w:rPr>
                <w:rFonts w:ascii="Vazirmatn" w:hAnsi="Vazirmatn"/>
                <w:sz w:val="18"/>
              </w:rPr>
              <w:t>سکتهٔ ایسکیمیک پیش از ۳ ماه</w:t>
            </w:r>
          </w:p>
        </w:tc>
      </w:tr>
      <w:tr>
        <w:tc>
          <w:tcPr>
            <w:tcW w:type="dxa" w:w="5156"/>
          </w:tcPr>
          <w:p>
            <w:pPr>
              <w:bidi w:val="1"/>
            </w:pPr>
            <w:r>
              <w:rPr>
                <w:sz w:val="18"/>
              </w:rPr>
            </w:r>
            <w:r>
              <w:rPr>
                <w:rFonts w:ascii="Vazirmatn" w:hAnsi="Vazirmatn"/>
                <w:sz w:val="18"/>
              </w:rPr>
              <w:t>سکتهٔ ایسکیمیک در ۳ ماه گذشته (به جز سکتهٔ حاد در ۴.۵ ساعت)</w:t>
            </w:r>
          </w:p>
        </w:tc>
        <w:tc>
          <w:tcPr>
            <w:tcW w:type="dxa" w:w="5156"/>
          </w:tcPr>
          <w:p>
            <w:pPr>
              <w:bidi w:val="1"/>
            </w:pPr>
            <w:r>
              <w:rPr>
                <w:sz w:val="18"/>
              </w:rPr>
            </w:r>
            <w:r>
              <w:rPr>
                <w:rFonts w:ascii="Vazirmatn" w:hAnsi="Vazirmatn"/>
                <w:sz w:val="18"/>
              </w:rPr>
              <w:t>Dementia</w:t>
            </w:r>
          </w:p>
        </w:tc>
      </w:tr>
      <w:tr>
        <w:tc>
          <w:tcPr>
            <w:tcW w:type="dxa" w:w="5156"/>
          </w:tcPr>
          <w:p>
            <w:pPr>
              <w:bidi w:val="1"/>
            </w:pPr>
            <w:r>
              <w:rPr>
                <w:sz w:val="18"/>
              </w:rPr>
            </w:r>
            <w:r>
              <w:rPr>
                <w:rFonts w:ascii="Vazirmatn" w:hAnsi="Vazirmatn"/>
                <w:sz w:val="18"/>
              </w:rPr>
              <w:t>شک به دایسکشن اورت</w:t>
            </w:r>
          </w:p>
        </w:tc>
        <w:tc>
          <w:tcPr>
            <w:tcW w:type="dxa" w:w="5156"/>
          </w:tcPr>
          <w:p>
            <w:pPr>
              <w:bidi w:val="1"/>
            </w:pPr>
            <w:r>
              <w:rPr>
                <w:sz w:val="18"/>
              </w:rPr>
            </w:r>
            <w:r>
              <w:rPr>
                <w:rFonts w:ascii="Vazirmatn" w:hAnsi="Vazirmatn"/>
                <w:sz w:val="18"/>
              </w:rPr>
              <w:t>آسیب دیگر داخل جمجمه که در منع مطلق نیامده</w:t>
            </w:r>
          </w:p>
        </w:tc>
      </w:tr>
      <w:tr>
        <w:tc>
          <w:tcPr>
            <w:tcW w:type="dxa" w:w="5156"/>
          </w:tcPr>
          <w:p>
            <w:pPr>
              <w:bidi w:val="1"/>
            </w:pPr>
            <w:r>
              <w:rPr>
                <w:sz w:val="18"/>
              </w:rPr>
            </w:r>
            <w:r>
              <w:rPr>
                <w:rFonts w:ascii="Vazirmatn" w:hAnsi="Vazirmatn"/>
                <w:sz w:val="18"/>
              </w:rPr>
              <w:t>خونریزی فعال یا مرض خونریزی‌دهنده (به جز حیض)</w:t>
            </w:r>
          </w:p>
        </w:tc>
        <w:tc>
          <w:tcPr>
            <w:tcW w:type="dxa" w:w="5156"/>
          </w:tcPr>
          <w:p>
            <w:pPr>
              <w:bidi w:val="1"/>
            </w:pPr>
            <w:r>
              <w:rPr>
                <w:sz w:val="18"/>
              </w:rPr>
            </w:r>
            <w:r>
              <w:rPr>
                <w:rFonts w:ascii="Vazirmatn" w:hAnsi="Vazirmatn"/>
                <w:sz w:val="18"/>
              </w:rPr>
              <w:t>CPR ترضیضی یا طولانی (بیشتر از ۱۰ دقیقه)</w:t>
            </w:r>
          </w:p>
        </w:tc>
      </w:tr>
      <w:tr>
        <w:tc>
          <w:tcPr>
            <w:tcW w:type="dxa" w:w="5156"/>
          </w:tcPr>
          <w:p>
            <w:pPr>
              <w:bidi w:val="1"/>
            </w:pPr>
            <w:r>
              <w:rPr>
                <w:sz w:val="18"/>
              </w:rPr>
            </w:r>
            <w:r>
              <w:rPr>
                <w:rFonts w:ascii="Vazirmatn" w:hAnsi="Vazirmatn"/>
                <w:sz w:val="18"/>
              </w:rPr>
              <w:t>ترضیض مهم سر یا روی در ۳ ماه گذشته</w:t>
            </w:r>
          </w:p>
        </w:tc>
        <w:tc>
          <w:tcPr>
            <w:tcW w:type="dxa" w:w="5156"/>
          </w:tcPr>
          <w:p>
            <w:pPr>
              <w:bidi w:val="1"/>
            </w:pPr>
            <w:r>
              <w:rPr>
                <w:sz w:val="18"/>
              </w:rPr>
            </w:r>
            <w:r>
              <w:rPr>
                <w:rFonts w:ascii="Vazirmatn" w:hAnsi="Vazirmatn"/>
                <w:sz w:val="18"/>
              </w:rPr>
              <w:t>عملیات بزرگ در ۳ هفتهٔ گذشته</w:t>
            </w:r>
          </w:p>
        </w:tc>
      </w:tr>
      <w:tr>
        <w:tc>
          <w:tcPr>
            <w:tcW w:type="dxa" w:w="5156"/>
          </w:tcPr>
          <w:p>
            <w:pPr>
              <w:bidi w:val="1"/>
            </w:pPr>
            <w:r>
              <w:rPr>
                <w:sz w:val="18"/>
              </w:rPr>
            </w:r>
            <w:r>
              <w:rPr>
                <w:rFonts w:ascii="Vazirmatn" w:hAnsi="Vazirmatn"/>
                <w:sz w:val="18"/>
              </w:rPr>
              <w:t>عملیات داخل جمجمه یا نخاع در ۲ ماه گذشته</w:t>
            </w:r>
          </w:p>
        </w:tc>
        <w:tc>
          <w:tcPr>
            <w:tcW w:type="dxa" w:w="5156"/>
          </w:tcPr>
          <w:p>
            <w:pPr>
              <w:bidi w:val="1"/>
            </w:pPr>
            <w:r>
              <w:rPr>
                <w:sz w:val="18"/>
              </w:rPr>
            </w:r>
            <w:r>
              <w:rPr>
                <w:rFonts w:ascii="Vazirmatn" w:hAnsi="Vazirmatn"/>
                <w:sz w:val="18"/>
              </w:rPr>
              <w:t>خونریزی داخلی در ۲–۴ هفتهٔ گذشته</w:t>
            </w:r>
          </w:p>
        </w:tc>
      </w:tr>
      <w:tr>
        <w:tc>
          <w:tcPr>
            <w:tcW w:type="dxa" w:w="5156"/>
          </w:tcPr>
          <w:p>
            <w:pPr>
              <w:bidi w:val="1"/>
            </w:pPr>
            <w:r>
              <w:rPr>
                <w:sz w:val="18"/>
              </w:rPr>
            </w:r>
            <w:r>
              <w:rPr>
                <w:rFonts w:ascii="Vazirmatn" w:hAnsi="Vazirmatn"/>
                <w:sz w:val="18"/>
              </w:rPr>
              <w:t>فشار بلند شدید که به تداوی جواب نمی‌دهد (سیستولیک بالاتر از ۱۸۰ یا دیاستولیک بالاتر از ۱۱۰)</w:t>
            </w:r>
          </w:p>
        </w:tc>
        <w:tc>
          <w:tcPr>
            <w:tcW w:type="dxa" w:w="5156"/>
          </w:tcPr>
          <w:p>
            <w:pPr>
              <w:bidi w:val="1"/>
            </w:pPr>
            <w:r>
              <w:rPr>
                <w:sz w:val="18"/>
              </w:rPr>
            </w:r>
            <w:r>
              <w:rPr>
                <w:rFonts w:ascii="Vazirmatn" w:hAnsi="Vazirmatn"/>
                <w:sz w:val="18"/>
              </w:rPr>
              <w:t>سوراخ رگ در جای غیرقابل فشار؛ حاملگی؛ قرحهٔ هضمی فعال؛ تداوی با Anticoagulant فمی</w:t>
            </w:r>
          </w:p>
        </w:tc>
      </w:tr>
    </w:tbl>
    <w:p>
      <w:pPr>
        <w:bidi w:val="1"/>
      </w:pPr>
      <w:r>
        <w:rPr>
          <w:rFonts w:ascii="Vazirmatn" w:hAnsi="Vazirmatn"/>
          <w:i/>
        </w:rPr>
        <w:t xml:space="preserve">این جدول رهنمایی است، نه فهرست کامل. رهنمود ESC 2023 برای سکتهٔ ایسکیمیک حد </w:t>
      </w:r>
      <w:r>
        <w:rPr>
          <w:rFonts w:ascii="Vazirmatn" w:hAnsi="Vazirmatn"/>
          <w:i/>
        </w:rPr>
        <w:t>۶ ماه</w:t>
      </w:r>
      <w:r>
        <w:rPr>
          <w:rFonts w:ascii="Vazirmatn" w:hAnsi="Vazirmatn"/>
          <w:i/>
        </w:rPr>
        <w:t xml:space="preserve"> را به‌کار می‌برد؛ متن ESC در این نشست بازخوانی نشد (SD-99). در عمل، اگر شک داری، با داکتر متخصص مشوره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بلند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ریهٔ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۳ ماه گذشته (ACC/AHA 2025؛ ESC: ۶ ماه)، شک به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تاکی/برادیکاردی و جدول دوای عاجل با متن ERC 2025 ALS مطابقت شد (احیا: فصل ۷۷)؛ AHA 2025 خط به خط مقایسه نشده (SD-98).</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 — متن رهنمود خوانده شد):</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حداکثر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اهتمامات مسمومیت (Vasopressor، Insulin با دوز بلند، Glucagon) → </w:t>
      </w:r>
      <w:r>
        <w:rPr>
          <w:rFonts w:ascii="Vazirmatn" w:hAnsi="Vazirmatn"/>
          <w:b/>
        </w:rPr>
        <w:t>فصل ۷۸</w:t>
      </w:r>
      <w:r>
        <w:rPr>
          <w:rFonts w:ascii="Vazirmatn" w:hAnsi="Vazirmatn"/>
        </w:rPr>
        <w:t>.</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ERC 2025 ALS — متن رهنمود خوانده شد؛ در عاجل از ورید محیطی هم داده می‌شوند):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(ERC 2025)؛ در AF تکرار ۰.۳۵ mg/kg و انفیوژن </w:t>
            </w:r>
            <w:r>
              <w:rPr>
                <w:rFonts w:ascii="Vazirmatn" w:hAnsi="Vazirmatn"/>
                <w:b/>
                <w:sz w:val="18"/>
              </w:rPr>
              <w:t>۵–۱۵ mg/h</w:t>
            </w:r>
            <w:r>
              <w:rPr>
                <w:rFonts w:ascii="Vazirmatn" w:hAnsi="Vazirmatn"/>
                <w:sz w:val="18"/>
              </w:rPr>
              <w:t xml:space="preserve"> از ACC/AHA 2023 AF است (جدول ۲ پایین)</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SVT با QRS باریک پس از ناکامی مانورهای واگال و Adenosine</w:t>
            </w:r>
          </w:p>
        </w:tc>
        <w:tc>
          <w:tcPr>
            <w:tcW w:type="dxa" w:w="2062"/>
          </w:tcPr>
          <w:p>
            <w:pPr>
              <w:bidi w:val="1"/>
            </w:pPr>
            <w:r>
              <w:rPr>
                <w:sz w:val="18"/>
              </w:rPr>
            </w:r>
            <w:r>
              <w:rPr>
                <w:rFonts w:ascii="Vazirmatn" w:hAnsi="Vazirmatn"/>
                <w:b/>
                <w:sz w:val="18"/>
              </w:rPr>
              <w:t>۲.۵–۱۵ mg</w:t>
            </w:r>
            <w:r>
              <w:rPr>
                <w:rFonts w:ascii="Vazirmatn" w:hAnsi="Vazirmatn"/>
                <w:sz w:val="18"/>
              </w:rPr>
              <w:t xml:space="preserve"> به شکل بولوس‌های ۲.۵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وقتی Esmolol یا Landiolol موجود نیست (ERC 2025)؛ 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اختیاری ۵۰۰ µg/kg در ۱ دقیقه، سپس انفیوژن ۵۰–۳۰۰ µg/kg/min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۹ دقیقه؛ در مریض ناپایدار هم قابل در نظر گرفتن</w:t>
            </w:r>
          </w:p>
        </w:tc>
      </w:tr>
      <w:tr>
        <w:tc>
          <w:tcPr>
            <w:tcW w:type="dxa" w:w="2062"/>
          </w:tcPr>
          <w:p>
            <w:pPr>
              <w:bidi w:val="1"/>
            </w:pPr>
            <w:r>
              <w:rPr>
                <w:sz w:val="18"/>
              </w:rPr>
            </w:r>
            <w:r>
              <w:rPr>
                <w:rFonts w:ascii="Vazirmatn" w:hAnsi="Vazirmatn"/>
                <w:b/>
                <w:sz w:val="18"/>
              </w:rPr>
              <w:t>Landiolol</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کنترول Rate در SVT، AF، Flutter؛ Electrical storm</w:t>
            </w:r>
          </w:p>
        </w:tc>
        <w:tc>
          <w:tcPr>
            <w:tcW w:type="dxa" w:w="2062"/>
          </w:tcPr>
          <w:p>
            <w:pPr>
              <w:bidi w:val="1"/>
            </w:pPr>
            <w:r>
              <w:rPr>
                <w:sz w:val="18"/>
              </w:rPr>
            </w:r>
            <w:r>
              <w:rPr>
                <w:rFonts w:ascii="Vazirmatn" w:hAnsi="Vazirmatn"/>
                <w:sz w:val="18"/>
              </w:rPr>
              <w:t>بارگیری اختیاری ۱۰۰ µg/kg در ۱ دقیقه، سپس ۱۰–۴۰ µg/kg/min (۱–۱۰ µg/kg/min اگر وظیفهٔ بطن چپ ضعیف است)</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۴ دقیقه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b/>
                <w:sz w:val="18"/>
              </w:rPr>
              <w:t>در AF با Pre-excitation ممنوع</w:t>
            </w:r>
            <w:r>
              <w:rPr>
                <w:rFonts w:ascii="Vazirmatn" w:hAnsi="Vazirmatn"/>
                <w:sz w:val="18"/>
              </w:rPr>
              <w:t xml:space="preserve"> (ECG سریع، پهن و نامنظم)؛ هایپوتنشن، برادیکاردی، QT طولانی؛ تداخل با Warfarin و Digoxin</w:t>
            </w:r>
          </w:p>
        </w:tc>
      </w:tr>
      <w:tr>
        <w:tc>
          <w:tcPr>
            <w:tcW w:type="dxa" w:w="2062"/>
          </w:tcPr>
          <w:p>
            <w:pPr>
              <w:bidi w:val="1"/>
            </w:pPr>
            <w:r>
              <w:rPr>
                <w:sz w:val="18"/>
              </w:rPr>
            </w:r>
            <w:r>
              <w:rPr>
                <w:rFonts w:ascii="Vazirmatn" w:hAnsi="Vazirmatn"/>
                <w:b/>
                <w:sz w:val="18"/>
              </w:rPr>
              <w:t>Lidocaine</w:t>
            </w:r>
          </w:p>
        </w:tc>
        <w:tc>
          <w:tcPr>
            <w:tcW w:type="dxa" w:w="2062"/>
          </w:tcPr>
          <w:p>
            <w:pPr>
              <w:bidi w:val="1"/>
            </w:pPr>
            <w:r>
              <w:rPr>
                <w:sz w:val="18"/>
              </w:rPr>
            </w:r>
            <w:r>
              <w:rPr>
                <w:rFonts w:ascii="Vazirmatn" w:hAnsi="Vazirmatn"/>
                <w:sz w:val="18"/>
              </w:rPr>
              <w:t>تاکی‌کاردی QRS پهن</w:t>
            </w:r>
          </w:p>
        </w:tc>
        <w:tc>
          <w:tcPr>
            <w:tcW w:type="dxa" w:w="2062"/>
          </w:tcPr>
          <w:p>
            <w:pPr>
              <w:bidi w:val="1"/>
            </w:pPr>
            <w:r>
              <w:rPr>
                <w:sz w:val="18"/>
              </w:rPr>
            </w:r>
            <w:r>
              <w:rPr>
                <w:rFonts w:ascii="Vazirmatn" w:hAnsi="Vazirmatn"/>
                <w:sz w:val="18"/>
              </w:rPr>
              <w:t>بولوس ۵۰–۲۰۰ mg، سپس ۲–۴ mg/min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در شاک دوز را کم کن</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۸ mmol</w:t>
            </w:r>
            <w:r>
              <w:rPr>
                <w:rFonts w:ascii="Vazirmatn" w:hAnsi="Vazirmatn"/>
                <w:sz w:val="18"/>
              </w:rPr>
              <w:t xml:space="preserve"> (تقریباً ۲ g Magnesium sulfate)</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ریه،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(حداکثر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حداکثر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GOLD 2025 اساس جدول‌ها؛ GOLD 2026 نشر شده (تعریف تازهٔ گروه‌ها و تشدید) — یادداشت در متن (SD-93).</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بستری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گزارش GOLD 2026 معیارهای گروه A، B و E را از نو تعریف کرده، بخش تازهٔ </w:t>
      </w:r>
      <w:r>
        <w:rPr>
          <w:rFonts w:ascii="Vazirmatn" w:hAnsi="Vazirmatn"/>
          <w:b/>
          <w:color w:val="0F2744"/>
        </w:rPr>
        <w:t>فعالیت مرض (Disease activity)</w:t>
      </w:r>
      <w:r>
        <w:rPr>
          <w:rFonts w:ascii="Vazirmatn" w:hAnsi="Vazirmatn"/>
          <w:color w:val="0F2744"/>
        </w:rPr>
        <w:t xml:space="preserve"> افزوده و می‌گوید </w:t>
      </w:r>
      <w:r>
        <w:rPr>
          <w:rFonts w:ascii="Vazirmatn" w:hAnsi="Vazirmatn"/>
          <w:b/>
          <w:color w:val="0F2744"/>
        </w:rPr>
        <w:t>یک تشدید متوسط</w:t>
      </w:r>
      <w:r>
        <w:rPr>
          <w:rFonts w:ascii="Vazirmatn" w:hAnsi="Vazirmatn"/>
          <w:color w:val="0F2744"/>
        </w:rPr>
        <w:t xml:space="preserve"> کافی است تا تشدید تداوی ملاحظه شود (هدف: هیچ تشدید). فصل تشدید (شدت بر اساس پیشنهاد Rome) هم کاملاً بازنویسی شده. جدول بالا هنوز بر GOLD 2025 استوار است، چون متن کامل 2026 برای مطابقت خط به خط دستیاب نشد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مکروفاژها آن را می‌بلعند ← باسیل در داخل مکروفاژ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ریه (فقط اصول، دوز تخصصی نوشته نمی‌شود).</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ریه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ریه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ریه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ریه</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ریه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ریه</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ریهٔ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ریه در این بازبینی از منبع اولیه خوانده نشد → SD-87.</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ریه:</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ریهٔ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(آپاندیسیت، کولی‌سیستیت، AMI)، ESVS 2025 mesenteric (جانشین 2017؛ SD-95)، SIS/IDSA اصول IAI.</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ریه،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بزرگسالان هم به کار می‌رود. در بزرگسالان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چک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SD-07)</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SD-07</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(SD-07).</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تابلیت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۶۱ و ۵۱ مراجعه کن (SD-10).</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(SD-10).</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(SD-10).</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(SD-10، SD-12). دوزهای Linaclotide و Plecanatide از متن ACG 2021 (دوزهای مطالعه‌شده) نقل شده‌اند، نه از برچسب.</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بزرگسال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(بخش ج همین فصل؛ دوز → SD-85).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ریه،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در این فصل ثبت نشد، چون KDIGO دوز ثابت نمی‌دهد و به پاسخ مریض بستگی دارد — بدهی SD-17 (UNVERIFIED).</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و Vasculitis سیستمیک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 و Vasculitis سیستمیک (خانهٔ اصلی).</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ریه،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بدهی SD-24 (دوزها از منبع اولیه در این دوره تأیید نشد).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 (تأییدشده از متن رهنمود)</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xml:space="preserve">؛ دوز نگهدارنده و مدت از برچسب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rPr>
        <w:t xml:space="preserve">🔒 </w:t>
      </w:r>
      <w:r>
        <w:rPr>
          <w:rFonts w:ascii="Vazirmatn" w:hAnsi="Vazirmatn"/>
          <w:b/>
        </w:rPr>
        <w:t>غلظت حداکثر KCl در ورید محیطی در برابر مرکزی و دوز فمی KCl</w:t>
      </w:r>
      <w:r>
        <w:rPr>
          <w:rFonts w:ascii="Vazirmatn" w:hAnsi="Vazirmatn"/>
        </w:rPr>
        <w:t xml:space="preserve"> از منبع اولیه تأیید نشد → </w:t>
      </w:r>
      <w:r>
        <w:rPr>
          <w:rFonts w:ascii="Vazirmatn" w:hAnsi="Vazirmatn"/>
          <w:b/>
        </w:rPr>
        <w:t>SD-27 (UNVERIFIED)</w:t>
      </w:r>
      <w:r>
        <w:rPr>
          <w:rFonts w:ascii="Vazirmatn" w:hAnsi="Vazirmatn"/>
        </w:rPr>
        <w:t>؛ از پروتوکول محلی پیروی کن.</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 (تأییدشده از متن)</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 فیصد</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endpoint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(متن کامل رهنمود خوانده شد)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و برچسب آن در این فصل تأیید نشد → SD-45.</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pStyle w:val="Heading2"/>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مددکار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1"/>
        <w:pageBreakBefore/>
        <w:spacing w:before="0"/>
        <w:bidi w:val="1"/>
      </w:pPr>
      <w:r>
        <w:rPr>
          <w:rFonts w:ascii="Vazirmatn" w:hAnsi="Vazirmatn"/>
          <w:b/>
          <w:color w:val="136F73"/>
          <w:sz w:val="38"/>
        </w:rPr>
        <w:t>فصل ۷۴ — Systemic lupus erythematosus (SLE) و Vasculitis سیستمیک</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pStyle w:val="Heading3"/>
        <w:spacing w:before="200"/>
        <w:bidi w:val="1"/>
      </w:pPr>
      <w:r>
        <w:rPr>
          <w:rFonts w:ascii="Vazirmatn" w:hAnsi="Vazirmatn"/>
          <w:b/>
          <w:color w:val="136F73"/>
          <w:sz w:val="25"/>
        </w:rPr>
        <w:t>(۵) Lupus nephritis (EULAR 2023؛ فصل ۴۲)</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۴۲.)</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۵. Vasculitis سیستمیک — خانهٔ اصلی در کتاب</w:t>
      </w:r>
    </w:p>
    <w:p>
      <w:pPr>
        <w:ind w:right="283" w:left="283"/>
        <w:bidi w:val="1"/>
      </w:pPr>
      <w:r>
        <w:rPr>
          <w:rFonts w:ascii="Vazirmatn" w:hAnsi="Vazirmatn"/>
          <w:color w:val="0F2744"/>
        </w:rPr>
        <w:t xml:space="preserve">این بخش خانهٔ اصلی Vasculitis سیستمیک (Systemic vasculitis) است. جزئیات گرده‌ای (RPGN، Anti-GBM) در </w:t>
      </w:r>
      <w:r>
        <w:rPr>
          <w:rFonts w:ascii="Vazirmatn" w:hAnsi="Vazirmatn"/>
          <w:b/>
          <w:color w:val="0F2744"/>
        </w:rPr>
        <w:t>فصل ۳۷</w:t>
      </w:r>
      <w:r>
        <w:rPr>
          <w:rFonts w:ascii="Vazirmatn" w:hAnsi="Vazirmatn"/>
          <w:color w:val="0F2744"/>
        </w:rPr>
        <w:t xml:space="preserve">، Giant cell arteritis با سردردِ بالای ۵۰ سال در </w:t>
      </w:r>
      <w:r>
        <w:rPr>
          <w:rFonts w:ascii="Vazirmatn" w:hAnsi="Vazirmatn"/>
          <w:b/>
          <w:color w:val="0F2744"/>
        </w:rPr>
        <w:t>فصل ۵۶</w:t>
      </w:r>
      <w:r>
        <w:rPr>
          <w:rFonts w:ascii="Vazirmatn" w:hAnsi="Vazirmatn"/>
          <w:color w:val="0F2744"/>
        </w:rPr>
        <w:t xml:space="preserve">، و Haemoptysis و خونریزی منتشر الویولی (DAH) در </w:t>
      </w:r>
      <w:r>
        <w:rPr>
          <w:rFonts w:ascii="Vazirmatn" w:hAnsi="Vazirmatn"/>
          <w:b/>
          <w:color w:val="0F2744"/>
        </w:rPr>
        <w:t>فصل ۲۳</w:t>
      </w:r>
      <w:r>
        <w:rPr>
          <w:rFonts w:ascii="Vazirmatn" w:hAnsi="Vazirmatn"/>
          <w:color w:val="0F2744"/>
        </w:rPr>
        <w:t xml:space="preserve"> آمده است.</w:t>
      </w:r>
    </w:p>
    <w:p>
      <w:pPr>
        <w:pStyle w:val="Heading3"/>
        <w:spacing w:before="200"/>
        <w:bidi w:val="1"/>
      </w:pPr>
      <w:r>
        <w:rPr>
          <w:rFonts w:ascii="Vazirmatn" w:hAnsi="Vazirmatn"/>
          <w:b/>
          <w:color w:val="136F73"/>
          <w:sz w:val="25"/>
        </w:rPr>
        <w:t>کی به Vasculitis فکر کنیم؟</w:t>
      </w:r>
    </w:p>
    <w:p>
      <w:pPr>
        <w:bidi w:val="1"/>
      </w:pPr>
      <w:r>
        <w:rPr>
          <w:rFonts w:ascii="Vazirmatn" w:hAnsi="Vazirmatn"/>
        </w:rPr>
        <w:t xml:space="preserve">وقتی مرض </w:t>
      </w:r>
      <w:r>
        <w:rPr>
          <w:rFonts w:ascii="Vazirmatn" w:hAnsi="Vazirmatn"/>
          <w:b/>
        </w:rPr>
        <w:t>چند عضو</w:t>
      </w:r>
      <w:r>
        <w:rPr>
          <w:rFonts w:ascii="Vazirmatn" w:hAnsi="Vazirmatn"/>
        </w:rPr>
        <w:t xml:space="preserve"> را هم‌زمان گرفته و یک توضیح ساده ندارد:</w:t>
      </w:r>
    </w:p>
    <w:p>
      <w:pPr>
        <w:ind w:right="340"/>
        <w:bidi w:val="1"/>
      </w:pPr>
      <w:r>
        <w:rPr>
          <w:color w:val="136F73"/>
        </w:rPr>
        <w:t xml:space="preserve">● </w:t>
      </w:r>
      <w:r>
        <w:rPr>
          <w:rFonts w:ascii="Vazirmatn" w:hAnsi="Vazirmatn"/>
        </w:rPr>
        <w:t>Purpura قابل لمس، زخم جلدی، Mononeuritis multiplex (افتادن ناگهانی پا یا دست)</w:t>
      </w:r>
    </w:p>
    <w:p>
      <w:pPr>
        <w:ind w:right="340"/>
        <w:bidi w:val="1"/>
      </w:pPr>
      <w:r>
        <w:rPr>
          <w:color w:val="136F73"/>
        </w:rPr>
        <w:t xml:space="preserve">● </w:t>
      </w:r>
      <w:r>
        <w:rPr>
          <w:rFonts w:ascii="Vazirmatn" w:hAnsi="Vazirmatn"/>
        </w:rPr>
        <w:t>سینوزیت یا Crusting مزمن بینی، Haemoptysis، ندول‌های ریوی</w:t>
      </w:r>
    </w:p>
    <w:p>
      <w:pPr>
        <w:ind w:right="340"/>
        <w:bidi w:val="1"/>
      </w:pPr>
      <w:r>
        <w:rPr>
          <w:color w:val="136F73"/>
        </w:rPr>
        <w:t xml:space="preserve">● </w:t>
      </w:r>
      <w:r>
        <w:rPr>
          <w:rFonts w:ascii="Vazirmatn" w:hAnsi="Vazirmatn"/>
        </w:rPr>
        <w:t>Haematuria با RBC cast، کریاتینین رو به افزایش (نفریتیک یا RPGN)</w:t>
      </w:r>
    </w:p>
    <w:p>
      <w:pPr>
        <w:ind w:right="340"/>
        <w:bidi w:val="1"/>
      </w:pPr>
      <w:r>
        <w:rPr>
          <w:color w:val="136F73"/>
        </w:rPr>
        <w:t xml:space="preserve">● </w:t>
      </w:r>
      <w:r>
        <w:rPr>
          <w:rFonts w:ascii="Vazirmatn" w:hAnsi="Vazirmatn"/>
        </w:rPr>
        <w:t>تب، کاهش وزن، خستگی و CRP بلند بدون انتان روشن</w:t>
      </w:r>
    </w:p>
    <w:p>
      <w:pPr>
        <w:pStyle w:val="Heading3"/>
        <w:spacing w:before="200"/>
        <w:bidi w:val="1"/>
      </w:pPr>
      <w:r>
        <w:rPr>
          <w:rFonts w:ascii="Vazirmatn" w:hAnsi="Vazirmatn"/>
          <w:b/>
          <w:color w:val="136F73"/>
          <w:sz w:val="25"/>
        </w:rPr>
        <w:t>تشخیص تفریقی که پیش از Vasculitis باید رد شود</w:t>
      </w:r>
    </w:p>
    <w:p>
      <w:pPr>
        <w:bidi w:val="1"/>
      </w:pPr>
      <w:r>
        <w:rPr>
          <w:rFonts w:ascii="Vazirmatn" w:hAnsi="Vazirmatn"/>
        </w:rPr>
        <w:t>Endocarditis (فصل ۱۲)، سپسیس و انتانات (HBV، HCV، HIV)، دواها (Levamisole در کوکائین، Propylthiouracil)، آمبولی کلسترول، SLE و Cryoglobulinaemia.</w:t>
      </w:r>
    </w:p>
    <w:p>
      <w:pPr>
        <w:pStyle w:val="Heading3"/>
        <w:spacing w:before="200"/>
        <w:bidi w:val="1"/>
      </w:pPr>
      <w:r>
        <w:rPr>
          <w:rFonts w:ascii="Vazirmatn" w:hAnsi="Vazirmatn"/>
          <w:b/>
          <w:color w:val="136F73"/>
          <w:sz w:val="25"/>
        </w:rPr>
        <w:t>معاینات لابراتواری بنیادی</w:t>
      </w:r>
    </w:p>
    <w:p>
      <w:pPr>
        <w:bidi w:val="1"/>
      </w:pPr>
      <w:r>
        <w:rPr>
          <w:rFonts w:ascii="Vazirmatn" w:hAnsi="Vazirmatn"/>
        </w:rPr>
        <w:t xml:space="preserve">CBC، کریاتینین، </w:t>
      </w:r>
      <w:r>
        <w:rPr>
          <w:rFonts w:ascii="Vazirmatn" w:hAnsi="Vazirmatn"/>
          <w:b/>
        </w:rPr>
        <w:t>معاینهٔ ادرار با میکروسکوپ</w:t>
      </w:r>
      <w:r>
        <w:rPr>
          <w:rFonts w:ascii="Vazirmatn" w:hAnsi="Vazirmatn"/>
        </w:rPr>
        <w:t xml:space="preserve"> (RBC cast)، CRP/ESR، </w:t>
      </w:r>
      <w:r>
        <w:rPr>
          <w:rFonts w:ascii="Vazirmatn" w:hAnsi="Vazirmatn"/>
          <w:b/>
        </w:rPr>
        <w:t>ANCA (PR3 و MPO)</w:t>
      </w:r>
      <w:r>
        <w:rPr>
          <w:rFonts w:ascii="Vazirmatn" w:hAnsi="Vazirmatn"/>
        </w:rPr>
        <w:t xml:space="preserve">، Anti-GBM، C3/C4، ANA، HBV/HCV، کشت خون، و عکس یا CT صدر. طبق EULAR 2022، </w:t>
      </w:r>
      <w:r>
        <w:rPr>
          <w:rFonts w:ascii="Vazirmatn" w:hAnsi="Vazirmatn"/>
          <w:b/>
        </w:rPr>
        <w:t>بیوپسی و معاینهٔ ANCA</w:t>
      </w:r>
      <w:r>
        <w:rPr>
          <w:rFonts w:ascii="Vazirmatn" w:hAnsi="Vazirmatn"/>
        </w:rPr>
        <w:t xml:space="preserve"> برای تأیید تشخیص توصیه می‌شوند؛ ANCA منفی Vasculitis را رد نمی‌کند.</w:t>
      </w:r>
    </w:p>
    <w:p>
      <w:pPr>
        <w:pStyle w:val="Heading3"/>
        <w:spacing w:before="200"/>
        <w:bidi w:val="1"/>
      </w:pPr>
      <w:r>
        <w:rPr>
          <w:rFonts w:ascii="Vazirmatn" w:hAnsi="Vazirmatn"/>
          <w:b/>
          <w:color w:val="136F73"/>
          <w:sz w:val="25"/>
        </w:rPr>
        <w:t>Red Flags — ارجاع همان روز</w:t>
      </w:r>
    </w:p>
    <w:p>
      <w:pPr>
        <w:ind w:right="340"/>
        <w:bidi w:val="1"/>
      </w:pPr>
      <w:r>
        <w:rPr>
          <w:color w:val="136F73"/>
        </w:rPr>
        <w:t xml:space="preserve">● </w:t>
      </w:r>
      <w:r>
        <w:rPr>
          <w:rFonts w:ascii="Vazirmatn" w:hAnsi="Vazirmatn"/>
        </w:rPr>
        <w:t>کریاتینین رو به افزایش با Haematuria (RPGN) → فصل ۳۷</w:t>
      </w:r>
    </w:p>
    <w:p>
      <w:pPr>
        <w:ind w:right="340"/>
        <w:bidi w:val="1"/>
      </w:pPr>
      <w:r>
        <w:rPr>
          <w:color w:val="136F73"/>
        </w:rPr>
        <w:t xml:space="preserve">● </w:t>
      </w:r>
      <w:r>
        <w:rPr>
          <w:rFonts w:ascii="Vazirmatn" w:hAnsi="Vazirmatn"/>
        </w:rPr>
        <w:t>Haemoptysis یا کاهش Hb با انفیلتره‌های ریوی (DAH) → فصل ۲۳ و ۲۲</w:t>
      </w:r>
    </w:p>
    <w:p>
      <w:pPr>
        <w:ind w:right="340"/>
        <w:bidi w:val="1"/>
      </w:pPr>
      <w:r>
        <w:rPr>
          <w:color w:val="136F73"/>
        </w:rPr>
        <w:t xml:space="preserve">● </w:t>
      </w:r>
      <w:r>
        <w:rPr>
          <w:rFonts w:ascii="Vazirmatn" w:hAnsi="Vazirmatn"/>
        </w:rPr>
        <w:t>کاهش دید یا سردرد تازه بالای ۵۰ سال (GCA) → فصل ۵۶</w:t>
      </w:r>
    </w:p>
    <w:p>
      <w:pPr>
        <w:ind w:right="340"/>
        <w:bidi w:val="1"/>
      </w:pPr>
      <w:r>
        <w:rPr>
          <w:color w:val="136F73"/>
        </w:rPr>
        <w:t xml:space="preserve">● </w:t>
      </w:r>
      <w:r>
        <w:rPr>
          <w:rFonts w:ascii="Vazirmatn" w:hAnsi="Vazirmatn"/>
        </w:rPr>
        <w:t>Mononeuritis multiplex یا ایسکیمی روده</w:t>
      </w:r>
    </w:p>
    <w:p>
      <w:pPr>
        <w:pStyle w:val="Heading3"/>
        <w:spacing w:before="200"/>
        <w:bidi w:val="1"/>
      </w:pPr>
      <w:r>
        <w:rPr>
          <w:rFonts w:ascii="Vazirmatn" w:hAnsi="Vazirmatn"/>
          <w:b/>
          <w:color w:val="136F73"/>
          <w:sz w:val="25"/>
        </w:rPr>
        <w:t>اصول تداوی ANCA vasculitis (GPA و MPA) — EULAR 2022 (Hellmich، Ann Rheum Dis 2024)</w:t>
      </w:r>
    </w:p>
    <w:p>
      <w:pPr>
        <w:ind w:right="340"/>
        <w:bidi w:val="1"/>
      </w:pPr>
      <w:r>
        <w:rPr>
          <w:color w:val="136F73"/>
        </w:rPr>
        <w:t xml:space="preserve">● </w:t>
      </w:r>
      <w:r>
        <w:rPr>
          <w:rFonts w:ascii="Vazirmatn" w:hAnsi="Vazirmatn"/>
        </w:rPr>
        <w:t xml:space="preserve">مرض تهدیدکنندهٔ حیات یا عضو: </w:t>
      </w:r>
      <w:r>
        <w:rPr>
          <w:rFonts w:ascii="Vazirmatn" w:hAnsi="Vazirmatn"/>
          <w:b/>
        </w:rPr>
        <w:t>Glucocorticoid با دوز بلند + Rituximab یا Cyclophosphamide</w:t>
      </w:r>
      <w:r>
        <w:rPr>
          <w:rFonts w:ascii="Vazirmatn" w:hAnsi="Vazirmatn"/>
        </w:rPr>
        <w:t>.</w:t>
      </w:r>
    </w:p>
    <w:p>
      <w:pPr>
        <w:ind w:right="340"/>
        <w:bidi w:val="1"/>
      </w:pPr>
      <w:r>
        <w:rPr>
          <w:color w:val="136F73"/>
        </w:rPr>
        <w:t xml:space="preserve">● </w:t>
      </w:r>
      <w:r>
        <w:rPr>
          <w:rFonts w:ascii="Vazirmatn" w:hAnsi="Vazirmatn"/>
        </w:rPr>
        <w:t xml:space="preserve">دوز Glucocorticoid به‌تدریج کم شود تا در </w:t>
      </w:r>
      <w:r>
        <w:rPr>
          <w:rFonts w:ascii="Vazirmatn" w:hAnsi="Vazirmatn"/>
          <w:b/>
        </w:rPr>
        <w:t>۴–۵ ماه به ۵ mg Prednisolone در روز</w:t>
      </w:r>
      <w:r>
        <w:rPr>
          <w:rFonts w:ascii="Vazirmatn" w:hAnsi="Vazirmatn"/>
        </w:rPr>
        <w:t xml:space="preserve"> برسد.</w:t>
      </w:r>
    </w:p>
    <w:p>
      <w:pPr>
        <w:ind w:right="340"/>
        <w:bidi w:val="1"/>
      </w:pPr>
      <w:r>
        <w:rPr>
          <w:color w:val="136F73"/>
        </w:rPr>
        <w:t xml:space="preserve">● </w:t>
      </w:r>
      <w:r>
        <w:rPr>
          <w:rFonts w:ascii="Vazirmatn" w:hAnsi="Vazirmatn"/>
          <w:b/>
        </w:rPr>
        <w:t>Avacopan</w:t>
      </w:r>
      <w:r>
        <w:rPr>
          <w:rFonts w:ascii="Vazirmatn" w:hAnsi="Vazirmatn"/>
        </w:rPr>
        <w:t xml:space="preserve"> برای کم ساختن مصرف Glucocorticoid در نظر گرفته می‌شود.</w:t>
      </w:r>
    </w:p>
    <w:p>
      <w:pPr>
        <w:ind w:right="340"/>
        <w:bidi w:val="1"/>
      </w:pPr>
      <w:r>
        <w:rPr>
          <w:color w:val="136F73"/>
        </w:rPr>
        <w:t xml:space="preserve">● </w:t>
      </w:r>
      <w:r>
        <w:rPr>
          <w:rFonts w:ascii="Vazirmatn" w:hAnsi="Vazirmatn"/>
          <w:b/>
        </w:rPr>
        <w:t>Plasma exchange</w:t>
      </w:r>
      <w:r>
        <w:rPr>
          <w:rFonts w:ascii="Vazirmatn" w:hAnsi="Vazirmatn"/>
        </w:rPr>
        <w:t xml:space="preserve"> در RPGN «در نظر گرفته می‌شود» — تصمیم متخصص است و معمول نیست.</w:t>
      </w:r>
    </w:p>
    <w:p>
      <w:pPr>
        <w:ind w:right="340"/>
        <w:bidi w:val="1"/>
      </w:pPr>
      <w:r>
        <w:rPr>
          <w:color w:val="136F73"/>
        </w:rPr>
        <w:t xml:space="preserve">● </w:t>
      </w:r>
      <w:r>
        <w:rPr>
          <w:rFonts w:ascii="Vazirmatn" w:hAnsi="Vazirmatn"/>
        </w:rPr>
        <w:t xml:space="preserve">نگهداری Remission: </w:t>
      </w:r>
      <w:r>
        <w:rPr>
          <w:rFonts w:ascii="Vazirmatn" w:hAnsi="Vazirmatn"/>
          <w:b/>
        </w:rPr>
        <w:t>Rituximab</w:t>
      </w:r>
      <w:r>
        <w:rPr>
          <w:rFonts w:ascii="Vazirmatn" w:hAnsi="Vazirmatn"/>
        </w:rPr>
        <w:t>؛ Azathioprine یا Methotrexate بدیل‌ها اند.</w:t>
      </w:r>
    </w:p>
    <w:p>
      <w:pPr>
        <w:ind w:right="340"/>
        <w:bidi w:val="1"/>
      </w:pPr>
      <w:r>
        <w:rPr>
          <w:color w:val="136F73"/>
        </w:rPr>
        <w:t xml:space="preserve">● </w:t>
      </w:r>
      <w:r>
        <w:rPr>
          <w:rFonts w:ascii="Vazirmatn" w:hAnsi="Vazirmatn"/>
        </w:rPr>
        <w:t xml:space="preserve">EGPA عودکننده یا مقاوم: </w:t>
      </w:r>
      <w:r>
        <w:rPr>
          <w:rFonts w:ascii="Vazirmatn" w:hAnsi="Vazirmatn"/>
          <w:b/>
        </w:rPr>
        <w:t>Mepolizumab</w:t>
      </w:r>
      <w:r>
        <w:rPr>
          <w:rFonts w:ascii="Vazirmatn" w:hAnsi="Vazirmatn"/>
        </w:rPr>
        <w:t>.</w:t>
      </w:r>
    </w:p>
    <w:p>
      <w:pPr>
        <w:ind w:right="340"/>
        <w:bidi w:val="1"/>
      </w:pPr>
      <w:r>
        <w:rPr>
          <w:color w:val="136F73"/>
        </w:rPr>
        <w:t xml:space="preserve">● </w:t>
      </w:r>
      <w:r>
        <w:rPr>
          <w:rFonts w:ascii="Vazirmatn" w:hAnsi="Vazirmatn"/>
        </w:rPr>
        <w:t>دوز شروع Glucocorticoid و رژیم Rituximab/Cyclophosphamide در این کتاب نیامده است: این تداوی فقط در مرکز متخصص شروع می‌شود و جدول دوز رهنمود از متن اولیه بازخوانی نشده است (SD-101).</w:t>
      </w:r>
    </w:p>
    <w:p>
      <w:pPr>
        <w:pStyle w:val="Heading3"/>
        <w:spacing w:before="200"/>
        <w:bidi w:val="1"/>
      </w:pPr>
      <w:r>
        <w:rPr>
          <w:rFonts w:ascii="Vazirmatn" w:hAnsi="Vazirmatn"/>
          <w:b/>
          <w:color w:val="136F73"/>
          <w:sz w:val="25"/>
        </w:rPr>
        <w:t>پیگیری</w:t>
      </w:r>
    </w:p>
    <w:p>
      <w:pPr>
        <w:bidi w:val="1"/>
      </w:pPr>
      <w:r>
        <w:rPr>
          <w:rFonts w:ascii="Vazirmatn" w:hAnsi="Vazirmatn"/>
        </w:rPr>
        <w:t>کریاتینین، ادرار و CBC در هر مراجعه؛ پیشگیری Pneumocystis و بررسی انتانات در مریضی که ایمونوسپرسیف می‌گیرد، به تصمیم متخصص؛ عود شایع است.</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متن رهنمود خوانده شد)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(هدف دقیق حرارت و مدت کنترول آن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ind w:right="340"/>
        <w:bidi w:val="1"/>
      </w:pPr>
      <w:r>
        <w:rPr>
          <w:b/>
          <w:color w:val="136F73"/>
        </w:rPr>
        <w:t xml:space="preserve">7. </w:t>
      </w:r>
      <w:r>
        <w:rPr>
          <w:rFonts w:ascii="Vazirmatn" w:hAnsi="Vazirmatn"/>
          <w:b/>
        </w:rPr>
        <w:t>مسمومیت Beta-blocker یا Calcium channel blocker</w:t>
      </w:r>
      <w:r>
        <w:rPr>
          <w:rFonts w:ascii="Vazirmatn" w:hAnsi="Vazirmatn"/>
        </w:rPr>
        <w:t xml:space="preserve"> (خانهٔ اصلی این موضوع همین‌جاست): علامهٔ اصلی </w:t>
      </w:r>
      <w:r>
        <w:rPr>
          <w:rFonts w:ascii="Vazirmatn" w:hAnsi="Vazirmatn"/>
          <w:b/>
        </w:rPr>
        <w:t>Bradycardia و فشار پایین</w:t>
      </w:r>
      <w:r>
        <w:rPr>
          <w:rFonts w:ascii="Vazirmatn" w:hAnsi="Vazirmatn"/>
        </w:rPr>
        <w:t xml:space="preserve"> است؛ در Beta-blocker گاهی قند پایین هم دیده می‌شود (با Dextrose تداوی کن). اهتمامات مسمومیت Beta-blocker (AHA 2023 Toxicology focused update؛ بخش CCB همان رهنمود در این نشست خوانده نشد → SD-100):</w:t>
      </w:r>
    </w:p>
    <w:p>
      <w:pPr>
        <w:ind w:right="340"/>
        <w:bidi w:val="1"/>
      </w:pPr>
      <w:r>
        <w:rPr>
          <w:color w:val="136F73"/>
        </w:rPr>
        <w:t xml:space="preserve">● </w:t>
      </w:r>
      <w:r>
        <w:rPr>
          <w:rFonts w:ascii="Vazirmatn" w:hAnsi="Vazirmatn"/>
          <w:b/>
        </w:rPr>
        <w:t>Vasopressor</w:t>
      </w:r>
      <w:r>
        <w:rPr>
          <w:rFonts w:ascii="Vazirmatn" w:hAnsi="Vazirmatn"/>
        </w:rPr>
        <w:t xml:space="preserve"> (معمولاً اولین تداوی، چون زود دستیاب است) و مایع با احتیاط؛</w:t>
      </w:r>
    </w:p>
    <w:p>
      <w:pPr>
        <w:ind w:right="340"/>
        <w:bidi w:val="1"/>
      </w:pPr>
      <w:r>
        <w:rPr>
          <w:color w:val="136F73"/>
        </w:rPr>
        <w:t xml:space="preserve">● </w:t>
      </w:r>
      <w:r>
        <w:rPr>
          <w:rFonts w:ascii="Vazirmatn" w:hAnsi="Vazirmatn"/>
          <w:b/>
        </w:rPr>
        <w:t>Insulin با دوز بلند</w:t>
      </w:r>
      <w:r>
        <w:rPr>
          <w:rFonts w:ascii="Vazirmatn" w:hAnsi="Vazirmatn"/>
        </w:rPr>
        <w:t xml:space="preserve"> همراه Dextrose و پیگیری قند و پوتاشیم — عضلهٔ قلب را قوی‌تر می‌کند؛</w:t>
      </w:r>
    </w:p>
    <w:p>
      <w:pPr>
        <w:ind w:right="340"/>
        <w:bidi w:val="1"/>
      </w:pPr>
      <w:r>
        <w:rPr>
          <w:color w:val="136F73"/>
        </w:rPr>
        <w:t xml:space="preserve">● </w:t>
      </w:r>
      <w:r>
        <w:rPr>
          <w:rFonts w:ascii="Vazirmatn" w:hAnsi="Vazirmatn"/>
          <w:b/>
        </w:rPr>
        <w:t>Glucagon</w:t>
      </w:r>
      <w:r>
        <w:rPr>
          <w:rFonts w:ascii="Vazirmatn" w:hAnsi="Vazirmatn"/>
        </w:rPr>
        <w:t xml:space="preserve"> وریدی — دوز آن </w:t>
      </w:r>
      <w:r>
        <w:rPr>
          <w:rFonts w:ascii="Vazirmatn" w:hAnsi="Vazirmatn"/>
          <w:b/>
        </w:rPr>
        <w:t>بلندتر از دوز Hypoglycaemia</w:t>
      </w:r>
      <w:r>
        <w:rPr>
          <w:rFonts w:ascii="Vazirmatn" w:hAnsi="Vazirmatn"/>
        </w:rPr>
        <w:t xml:space="preserve"> است؛ استفراغ زیاد دارد و اثرش زود کم می‌شود؛</w:t>
      </w:r>
    </w:p>
    <w:p>
      <w:pPr>
        <w:ind w:right="340"/>
        <w:bidi w:val="1"/>
      </w:pPr>
      <w:r>
        <w:rPr>
          <w:color w:val="136F73"/>
        </w:rPr>
        <w:t xml:space="preserve">● </w:t>
      </w:r>
      <w:r>
        <w:rPr>
          <w:rFonts w:ascii="Vazirmatn" w:hAnsi="Vazirmatn"/>
          <w:b/>
        </w:rPr>
        <w:t>Atropine</w:t>
      </w:r>
      <w:r>
        <w:rPr>
          <w:rFonts w:ascii="Vazirmatn" w:hAnsi="Vazirmatn"/>
        </w:rPr>
        <w:t xml:space="preserve"> و </w:t>
      </w:r>
      <w:r>
        <w:rPr>
          <w:rFonts w:ascii="Vazirmatn" w:hAnsi="Vazirmatn"/>
          <w:b/>
        </w:rPr>
        <w:t>Pacing</w:t>
      </w:r>
      <w:r>
        <w:rPr>
          <w:rFonts w:ascii="Vazirmatn" w:hAnsi="Vazirmatn"/>
        </w:rPr>
        <w:t xml:space="preserve"> — جواب‌شان ثابت نیست؛</w:t>
      </w:r>
    </w:p>
    <w:p>
      <w:pPr>
        <w:ind w:right="340"/>
        <w:bidi w:val="1"/>
      </w:pPr>
      <w:r>
        <w:rPr>
          <w:color w:val="136F73"/>
        </w:rPr>
        <w:t xml:space="preserve">● </w:t>
      </w:r>
      <w:r>
        <w:rPr>
          <w:rFonts w:ascii="Vazirmatn" w:hAnsi="Vazirmatn"/>
        </w:rPr>
        <w:t xml:space="preserve">در Atenolol یا Sotalol با عدم کفایهٔ گرده، </w:t>
      </w:r>
      <w:r>
        <w:rPr>
          <w:rFonts w:ascii="Vazirmatn" w:hAnsi="Vazirmatn"/>
          <w:b/>
        </w:rPr>
        <w:t>Haemodialysis</w:t>
      </w:r>
      <w:r>
        <w:rPr>
          <w:rFonts w:ascii="Vazirmatn" w:hAnsi="Vazirmatn"/>
        </w:rPr>
        <w:t xml:space="preserve"> کمک می‌کند؛</w:t>
      </w:r>
    </w:p>
    <w:p>
      <w:pPr>
        <w:ind w:right="340"/>
        <w:bidi w:val="1"/>
      </w:pPr>
      <w:r>
        <w:rPr>
          <w:color w:val="136F73"/>
        </w:rPr>
        <w:t xml:space="preserve">● </w:t>
      </w:r>
      <w:r>
        <w:rPr>
          <w:rFonts w:ascii="Vazirmatn" w:hAnsi="Vazirmatn"/>
          <w:b/>
        </w:rPr>
        <w:t>VA-ECMO</w:t>
      </w:r>
      <w:r>
        <w:rPr>
          <w:rFonts w:ascii="Vazirmatn" w:hAnsi="Vazirmatn"/>
        </w:rPr>
        <w:t xml:space="preserve"> در شوک مقاوم (اگر دستیاب است)؛ </w:t>
      </w:r>
      <w:r>
        <w:rPr>
          <w:rFonts w:ascii="Vazirmatn" w:hAnsi="Vazirmatn"/>
          <w:b/>
        </w:rPr>
        <w:t>Lipid emulsion به‌طور روتین نه</w:t>
      </w:r>
      <w:r>
        <w:rPr>
          <w:rFonts w:ascii="Vazirmatn" w:hAnsi="Vazirmatn"/>
        </w:rPr>
        <w:t>.</w:t>
      </w:r>
    </w:p>
    <w:p>
      <w:pPr>
        <w:bidi w:val="1"/>
      </w:pPr>
      <w:r>
        <w:rPr>
          <w:rFonts w:ascii="Vazirmatn" w:hAnsi="Vazirmatn"/>
        </w:rPr>
        <w:t xml:space="preserve">🔒 دوز عددی Glucagon و Insulin در متن رهنمود AHA 2023 خوانده‌شده نیامده بود و از منبع اولیه تأیید نشد → </w:t>
      </w:r>
      <w:r>
        <w:rPr>
          <w:rFonts w:ascii="Vazirmatn" w:hAnsi="Vazirmatn"/>
          <w:b/>
        </w:rPr>
        <w:t>SD-100</w:t>
      </w:r>
      <w:r>
        <w:rPr>
          <w:rFonts w:ascii="Vazirmatn" w:hAnsi="Vazirmatn"/>
        </w:rPr>
        <w:t>؛ با مرکز سموم یا متخصص مراقبت‌های ویژه دوز را تعیین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الکول مزمن، (فصل ۸۷)،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w:t>
      </w:r>
    </w:p>
    <w:p>
      <w:pPr>
        <w:ind w:right="340"/>
        <w:bidi w:val="1"/>
      </w:pPr>
      <w:r>
        <w:rPr>
          <w:color w:val="136F73"/>
        </w:rPr>
        <w:t xml:space="preserve">● </w:t>
      </w:r>
      <w:r>
        <w:rPr>
          <w:rFonts w:ascii="Vazirmatn" w:hAnsi="Vazirmatn"/>
        </w:rPr>
        <w:t>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فیصد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w:t>
      </w:r>
      <w:r>
        <w:rPr>
          <w:rFonts w:ascii="Vazirmatn" w:hAnsi="Vazirmatn"/>
          <w:b/>
        </w:rPr>
        <w:t>۳۰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متن کامل (بخش‌های سرد کردن، هدف حرارت و دوا) خوانده شد؛ </w:t>
      </w:r>
      <w:r>
        <w:rPr>
          <w:rFonts w:ascii="Vazirmatn" w:hAnsi="Vazirmatn"/>
          <w:i/>
          <w:color w:val="0F2744"/>
        </w:rPr>
        <w:t>Hypothermia</w:t>
      </w:r>
      <w:r>
        <w:rPr>
          <w:rFonts w:ascii="Vazirmatn" w:hAnsi="Vazirmatn"/>
          <w:i/>
          <w:color w:val="0F2744"/>
        </w:rPr>
        <w:t xml:space="preserve"> — </w:t>
      </w:r>
      <w:r>
        <w:rPr>
          <w:rFonts w:ascii="Vazirmatn" w:hAnsi="Vazirmatn"/>
          <w:i/>
          <w:color w:val="0F2744"/>
        </w:rPr>
        <w:t>ERC 2025 Special Circumstances</w:t>
      </w:r>
      <w:r>
        <w:rPr>
          <w:rFonts w:ascii="Vazirmatn" w:hAnsi="Vazirmatn"/>
          <w:i/>
          <w:color w:val="0F2744"/>
        </w:rPr>
        <w:t xml:space="preserve"> (بخش Accidental hypothermia و شکل ۵، متن رهنمود خوانده شد، سپتمبر 2026)؛ </w:t>
      </w:r>
      <w:r>
        <w:rPr>
          <w:rFonts w:ascii="Vazirmatn" w:hAnsi="Vazirmatn"/>
          <w:i/>
          <w:color w:val="0F2744"/>
        </w:rPr>
        <w:t>Frostbite</w:t>
      </w:r>
      <w:r>
        <w:rPr>
          <w:rFonts w:ascii="Vazirmatn" w:hAnsi="Vazirmatn"/>
          <w:i/>
          <w:color w:val="0F2744"/>
        </w:rPr>
        <w:t xml:space="preserve"> — WMS 2024 Frostbite update (متن رهنمود).</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Aspirin، Ibuprofen و Dantrolene را برای گرمازدگی نده</w:t>
      </w:r>
      <w:r>
        <w:rPr>
          <w:rFonts w:ascii="Vazirmatn" w:hAnsi="Vazirmatn"/>
        </w:rPr>
        <w:t xml:space="preserve"> (WMS 2024: توصیهٔ قوی). تب نیست؛ مرکز تنظیم حرارت خراب نشده؛ NSAID خطر خونریزی و آسیب گرده، و Paracetamol خطر آسیب کبد را زیاد می‌کند. ERC 2025 هم برای Hyperthermia ناشی از توکسین همین را می‌گوید.</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اریتمی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bidi w:val="1"/>
      </w:pPr>
      <w:r>
        <w:rPr>
          <w:rFonts w:ascii="Vazirmatn" w:hAnsi="Vazirmatn"/>
        </w:rPr>
        <w:t>(WMS 2024 Frostbite — متن رهنمود خوانده شد)</w:t>
      </w:r>
    </w:p>
    <w:p>
      <w:pPr>
        <w:ind w:right="340"/>
        <w:bidi w:val="1"/>
      </w:pPr>
      <w:r>
        <w:rPr>
          <w:color w:val="136F73"/>
        </w:rPr>
        <w:t xml:space="preserve">● </w:t>
      </w:r>
      <w:r>
        <w:rPr>
          <w:rFonts w:ascii="Vazirmatn" w:hAnsi="Vazirmatn"/>
          <w:b/>
        </w:rPr>
        <w:t>اول Hypothermia و ترضیض</w:t>
      </w:r>
      <w:r>
        <w:rPr>
          <w:rFonts w:ascii="Vazirmatn" w:hAnsi="Vazirmatn"/>
        </w:rPr>
        <w:t xml:space="preserve"> را اهتمام کن؛ حلقه و انگشتر را زود بکش (پرسوب می‌آید).</w:t>
      </w:r>
    </w:p>
    <w:p>
      <w:pPr>
        <w:ind w:right="340"/>
        <w:bidi w:val="1"/>
      </w:pPr>
      <w:r>
        <w:rPr>
          <w:color w:val="136F73"/>
        </w:rPr>
        <w:t xml:space="preserve">● </w:t>
      </w:r>
      <w:r>
        <w:rPr>
          <w:rFonts w:ascii="Vazirmatn" w:hAnsi="Vazirmatn"/>
          <w:b/>
        </w:rPr>
        <w:t>گرم کردن سریع در آب ۳۷–۳۹ °C</w:t>
      </w:r>
      <w:r>
        <w:rPr>
          <w:rFonts w:ascii="Vazirmatn" w:hAnsi="Vazirmatn"/>
        </w:rPr>
        <w:t xml:space="preserve"> (با ترمامتر؛ اگر نیست، دست سالم باید ۳۰ ثانیه آن را تحمل کند) — </w:t>
      </w:r>
      <w:r>
        <w:rPr>
          <w:rFonts w:ascii="Vazirmatn" w:hAnsi="Vazirmatn"/>
          <w:b/>
        </w:rPr>
        <w:t>فقط وقتی</w:t>
      </w:r>
      <w:r>
        <w:rPr>
          <w:rFonts w:ascii="Vazirmatn" w:hAnsi="Vazirmatn"/>
        </w:rPr>
        <w:t xml:space="preserve"> عضو پس از گرم شدن دوباره یخ نمی‌زند. معمولاً حدود ۳۰ دقیقه، تا عضو سرخ یا بنفش و نرم شود. </w:t>
      </w:r>
      <w:r>
        <w:rPr>
          <w:rFonts w:ascii="Vazirmatn" w:hAnsi="Vazirmatn"/>
          <w:b/>
        </w:rPr>
        <w:t>آتش، بخاری یا سنگ داغ نه</w:t>
      </w:r>
      <w:r>
        <w:rPr>
          <w:rFonts w:ascii="Vazirmatn" w:hAnsi="Vazirmatn"/>
        </w:rPr>
        <w:t xml:space="preserve"> (سوختگی). </w:t>
      </w:r>
      <w:r>
        <w:rPr>
          <w:rFonts w:ascii="Vazirmatn" w:hAnsi="Vazirmatn"/>
          <w:b/>
        </w:rPr>
        <w:t>مالش نده</w:t>
      </w:r>
      <w:r>
        <w:rPr>
          <w:rFonts w:ascii="Vazirmatn" w:hAnsi="Vazirmatn"/>
        </w:rPr>
        <w:t>؛ با فشار آرام خشک کن.</w:t>
      </w:r>
    </w:p>
    <w:p>
      <w:pPr>
        <w:ind w:right="340"/>
        <w:bidi w:val="1"/>
      </w:pPr>
      <w:r>
        <w:rPr>
          <w:color w:val="136F73"/>
        </w:rPr>
        <w:t xml:space="preserve">● </w:t>
      </w:r>
      <w:r>
        <w:rPr>
          <w:rFonts w:ascii="Vazirmatn" w:hAnsi="Vazirmatn"/>
          <w:b/>
        </w:rPr>
        <w:t>درد:</w:t>
      </w:r>
      <w:r>
        <w:rPr>
          <w:rFonts w:ascii="Vazirmatn" w:hAnsi="Vazirmatn"/>
        </w:rPr>
        <w:t xml:space="preserve"> NSAID یا Opioid. </w:t>
      </w:r>
      <w:r>
        <w:rPr>
          <w:rFonts w:ascii="Vazirmatn" w:hAnsi="Vazirmatn"/>
          <w:b/>
        </w:rPr>
        <w:t>Ibuprofen ۱۲ mg/kg در روز، در دو دوز</w:t>
      </w:r>
      <w:r>
        <w:rPr>
          <w:rFonts w:ascii="Vazirmatn" w:hAnsi="Vazirmatn"/>
        </w:rPr>
        <w:t xml:space="preserve"> (حداکثر ۲۴۰۰ mg/روز) تا التیام زخم یا جراحی (معمولاً ۴–۶ هفته).</w:t>
      </w:r>
    </w:p>
    <w:p>
      <w:pPr>
        <w:ind w:right="340"/>
        <w:bidi w:val="1"/>
      </w:pPr>
      <w:r>
        <w:rPr>
          <w:color w:val="136F73"/>
        </w:rPr>
        <w:t xml:space="preserve">● </w:t>
      </w:r>
      <w:r>
        <w:rPr>
          <w:rFonts w:ascii="Vazirmatn" w:hAnsi="Vazirmatn"/>
          <w:b/>
        </w:rPr>
        <w:t>آبله‌ها:</w:t>
      </w:r>
      <w:r>
        <w:rPr>
          <w:rFonts w:ascii="Vazirmatn" w:hAnsi="Vazirmatn"/>
        </w:rPr>
        <w:t xml:space="preserve"> آبلهٔ خونی را نکش؛ آبلهٔ شفاف را در شفاخانه تخلیه کن. Aloe vera موضعی و پانسمان خشک. </w:t>
      </w:r>
      <w:r>
        <w:rPr>
          <w:rFonts w:ascii="Vazirmatn" w:hAnsi="Vazirmatn"/>
          <w:b/>
        </w:rPr>
        <w:t>Antibiotic روتین نه</w:t>
      </w:r>
      <w:r>
        <w:rPr>
          <w:rFonts w:ascii="Vazirmatn" w:hAnsi="Vazirmatn"/>
        </w:rPr>
        <w:t xml:space="preserve"> (فقط در Cellulitis، Sepsis یا ترضیض مهم). Tetanus مطابق رهنمود (فصل ۷۱).</w:t>
      </w:r>
    </w:p>
    <w:p>
      <w:pPr>
        <w:ind w:right="340"/>
        <w:bidi w:val="1"/>
      </w:pPr>
      <w:r>
        <w:rPr>
          <w:color w:val="136F73"/>
        </w:rPr>
        <w:t xml:space="preserve">● </w:t>
      </w:r>
      <w:r>
        <w:rPr>
          <w:rFonts w:ascii="Vazirmatn" w:hAnsi="Vazirmatn"/>
          <w:b/>
        </w:rPr>
        <w:t>سرمازدگی عمیق (درجهٔ ۳–۴):</w:t>
      </w:r>
      <w:r>
        <w:rPr>
          <w:rFonts w:ascii="Vazirmatn" w:hAnsi="Vazirmatn"/>
        </w:rPr>
        <w:t xml:space="preserve"> </w:t>
      </w:r>
      <w:r>
        <w:rPr>
          <w:rFonts w:ascii="Vazirmatn" w:hAnsi="Vazirmatn"/>
          <w:b/>
        </w:rPr>
        <w:t>Iloprost وریدی</w:t>
      </w:r>
      <w:r>
        <w:rPr>
          <w:rFonts w:ascii="Vazirmatn" w:hAnsi="Vazirmatn"/>
        </w:rPr>
        <w:t xml:space="preserve"> تا ۷۲ ساعت پس از گرم شدن (هر چه زودتر بهتر)، یا </w:t>
      </w:r>
      <w:r>
        <w:rPr>
          <w:rFonts w:ascii="Vazirmatn" w:hAnsi="Vazirmatn"/>
          <w:b/>
        </w:rPr>
        <w:t>tPA</w:t>
      </w:r>
      <w:r>
        <w:rPr>
          <w:rFonts w:ascii="Vazirmatn" w:hAnsi="Vazirmatn"/>
        </w:rPr>
        <w:t xml:space="preserve"> وریدی/داخل شریانی در ۲۴ ساعت اول، اگر Iloprost نیست و منع خونریزی ندارد. هر دو تداوی مرکز تخصصی است — مریض را </w:t>
      </w:r>
      <w:r>
        <w:rPr>
          <w:rFonts w:ascii="Vazirmatn" w:hAnsi="Vazirmatn"/>
          <w:b/>
        </w:rPr>
        <w:t>زود</w:t>
      </w:r>
      <w:r>
        <w:rPr>
          <w:rFonts w:ascii="Vazirmatn" w:hAnsi="Vazirmatn"/>
        </w:rPr>
        <w:t xml:space="preserve"> راجع کن؛ دوز در این کتاب نیامده.</w:t>
      </w:r>
    </w:p>
    <w:p>
      <w:pPr>
        <w:ind w:right="340"/>
        <w:bidi w:val="1"/>
      </w:pPr>
      <w:r>
        <w:rPr>
          <w:color w:val="136F73"/>
        </w:rPr>
        <w:t xml:space="preserve">● </w:t>
      </w:r>
      <w:r>
        <w:rPr>
          <w:rFonts w:ascii="Vazirmatn" w:hAnsi="Vazirmatn"/>
          <w:b/>
        </w:rPr>
        <w:t>Heparin به‌تنهایی</w:t>
      </w:r>
      <w:r>
        <w:rPr>
          <w:rFonts w:ascii="Vazirmatn" w:hAnsi="Vazirmatn"/>
        </w:rPr>
        <w:t xml:space="preserve"> برای سرمازدگی فایدهٔ ثابت‌شده ندارد.</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ولسؤالی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(SLE و Vasculitis)، ۵۶ (GCA)،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 (فصل ۸۶).</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بدهی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ریه در این بازبینی از منبع اولیه خوانده نشد → SD-87.</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2"/>
        <w:spacing w:before="280"/>
        <w:bidi w:val="1"/>
      </w:pPr>
      <w:r>
        <w:rPr>
          <w:rFonts w:ascii="Vazirmatn" w:hAnsi="Vazirmatn"/>
          <w:b/>
          <w:color w:val="0F2744"/>
          <w:sz w:val="29"/>
        </w:rPr>
        <w:t>فصل ۷۴ — Systemic lupus erythematosus (SLE) و Vasculitis سیستمیک</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2"/>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